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1353C" w14:textId="77777777" w:rsidR="00586426" w:rsidRPr="00586426" w:rsidRDefault="00586426" w:rsidP="00586426">
      <w:pPr>
        <w:pStyle w:val="Heading3"/>
        <w:jc w:val="center"/>
        <w:rPr>
          <w:rFonts w:ascii="Arial" w:hAnsi="Arial"/>
          <w:b/>
          <w:color w:val="auto"/>
          <w:sz w:val="22"/>
          <w:szCs w:val="22"/>
        </w:rPr>
      </w:pPr>
      <w:r w:rsidRPr="00586426">
        <w:rPr>
          <w:rFonts w:ascii="Arial" w:hAnsi="Arial"/>
          <w:b/>
          <w:color w:val="auto"/>
          <w:sz w:val="22"/>
          <w:szCs w:val="22"/>
        </w:rPr>
        <w:t>Significant Noncompliance Definition</w:t>
      </w:r>
    </w:p>
    <w:p w14:paraId="52B43093" w14:textId="77777777" w:rsidR="00586426" w:rsidRPr="00586426" w:rsidRDefault="00586426" w:rsidP="00586426">
      <w:pPr>
        <w:pStyle w:val="Heading4"/>
        <w:ind w:left="1080" w:hanging="540"/>
        <w:rPr>
          <w:rFonts w:ascii="Arial" w:hAnsi="Arial"/>
          <w:i w:val="0"/>
          <w:iCs w:val="0"/>
          <w:color w:val="auto"/>
          <w:sz w:val="22"/>
          <w:szCs w:val="22"/>
        </w:rPr>
      </w:pPr>
      <w:r w:rsidRPr="00586426">
        <w:rPr>
          <w:rFonts w:ascii="Arial" w:hAnsi="Arial"/>
          <w:i w:val="0"/>
          <w:iCs w:val="0"/>
          <w:color w:val="auto"/>
          <w:sz w:val="22"/>
          <w:szCs w:val="22"/>
        </w:rPr>
        <w:t>(1)</w:t>
      </w:r>
      <w:r w:rsidRPr="00586426">
        <w:rPr>
          <w:rFonts w:ascii="Arial" w:hAnsi="Arial"/>
          <w:i w:val="0"/>
          <w:iCs w:val="0"/>
          <w:color w:val="auto"/>
          <w:sz w:val="22"/>
          <w:szCs w:val="22"/>
        </w:rPr>
        <w:tab/>
        <w:t>Chronic violations of wastewater discharge limits, defined here as those in which sixty-six percent (66%) or more of all of the measurements taken for the same pollutant parameter during a six (6) month period exceed (by any magnitude) a numeric pretreatment standard or requirement, including instantaneous limits.</w:t>
      </w:r>
    </w:p>
    <w:p w14:paraId="65B85DAD" w14:textId="77777777" w:rsidR="00586426" w:rsidRPr="00586426" w:rsidRDefault="00586426" w:rsidP="00586426">
      <w:pPr>
        <w:pStyle w:val="Heading4"/>
        <w:ind w:left="1080" w:hanging="540"/>
        <w:rPr>
          <w:rFonts w:ascii="Arial" w:hAnsi="Arial"/>
          <w:i w:val="0"/>
          <w:iCs w:val="0"/>
          <w:color w:val="auto"/>
          <w:sz w:val="22"/>
          <w:szCs w:val="22"/>
        </w:rPr>
      </w:pPr>
      <w:r w:rsidRPr="00586426">
        <w:rPr>
          <w:rFonts w:ascii="Arial" w:hAnsi="Arial"/>
          <w:i w:val="0"/>
          <w:iCs w:val="0"/>
          <w:color w:val="auto"/>
          <w:sz w:val="22"/>
          <w:szCs w:val="22"/>
        </w:rPr>
        <w:t>(2)</w:t>
      </w:r>
      <w:r w:rsidRPr="00586426">
        <w:rPr>
          <w:rFonts w:ascii="Arial" w:hAnsi="Arial"/>
          <w:i w:val="0"/>
          <w:iCs w:val="0"/>
          <w:color w:val="auto"/>
          <w:sz w:val="22"/>
          <w:szCs w:val="22"/>
        </w:rPr>
        <w:tab/>
        <w:t>Technical Review Criteria (TRC) violations, defined here as those in which thirty-three percent (33%) or more of all wastewater measurements taken for each pollutant parameter during a six (6) month period equals or exceeds the product of the numeric pretreatment standard or requirement including instantaneous limit, daily maximum limit, the average limit, or JEA’s Maximum Allowable Discharge Limit multiplied by the applicable criteria  (TRC=1.4 for COD, TSS, SGT-HEM, and 1.2 for all other pollutants except pH);</w:t>
      </w:r>
    </w:p>
    <w:p w14:paraId="6CEEB3BA" w14:textId="77777777" w:rsidR="00586426" w:rsidRPr="00586426" w:rsidRDefault="00586426" w:rsidP="00586426">
      <w:pPr>
        <w:pStyle w:val="Heading4"/>
        <w:ind w:left="1080" w:hanging="540"/>
        <w:rPr>
          <w:rFonts w:ascii="Arial" w:hAnsi="Arial"/>
          <w:i w:val="0"/>
          <w:iCs w:val="0"/>
          <w:color w:val="auto"/>
          <w:sz w:val="22"/>
          <w:szCs w:val="22"/>
        </w:rPr>
      </w:pPr>
      <w:r w:rsidRPr="00586426">
        <w:rPr>
          <w:rFonts w:ascii="Arial" w:hAnsi="Arial"/>
          <w:i w:val="0"/>
          <w:iCs w:val="0"/>
          <w:color w:val="auto"/>
          <w:sz w:val="22"/>
          <w:szCs w:val="22"/>
        </w:rPr>
        <w:t>(3)</w:t>
      </w:r>
      <w:r w:rsidRPr="00586426">
        <w:rPr>
          <w:rFonts w:ascii="Arial" w:hAnsi="Arial"/>
          <w:i w:val="0"/>
          <w:iCs w:val="0"/>
          <w:color w:val="auto"/>
          <w:sz w:val="22"/>
          <w:szCs w:val="22"/>
        </w:rPr>
        <w:tab/>
        <w:t>Any other violation of a pretreatment effluent limit (daily maximum, longer-term average, instantaneous limit, or narrative standard), that JEA determines has caused, alone or in combination with other discharges, interference or pass-through, (including endangering the health of JEAWWF personnel or the general public);</w:t>
      </w:r>
    </w:p>
    <w:p w14:paraId="1C71C668" w14:textId="77777777" w:rsidR="00586426" w:rsidRPr="00586426" w:rsidRDefault="00586426" w:rsidP="00586426">
      <w:pPr>
        <w:pStyle w:val="Heading4"/>
        <w:ind w:left="1080" w:hanging="540"/>
        <w:rPr>
          <w:rFonts w:ascii="Arial" w:hAnsi="Arial"/>
          <w:i w:val="0"/>
          <w:iCs w:val="0"/>
          <w:color w:val="auto"/>
          <w:sz w:val="22"/>
          <w:szCs w:val="22"/>
        </w:rPr>
      </w:pPr>
      <w:r w:rsidRPr="00586426">
        <w:rPr>
          <w:rFonts w:ascii="Arial" w:hAnsi="Arial"/>
          <w:i w:val="0"/>
          <w:iCs w:val="0"/>
          <w:color w:val="auto"/>
          <w:sz w:val="22"/>
          <w:szCs w:val="22"/>
        </w:rPr>
        <w:t>(4)</w:t>
      </w:r>
      <w:r w:rsidRPr="00586426">
        <w:rPr>
          <w:rFonts w:ascii="Arial" w:hAnsi="Arial"/>
          <w:i w:val="0"/>
          <w:iCs w:val="0"/>
          <w:color w:val="auto"/>
          <w:sz w:val="22"/>
          <w:szCs w:val="22"/>
        </w:rPr>
        <w:tab/>
        <w:t>Any discharge of pollutants that has caused imminent endangerment to the public or to the environment, or has resulted in JEA’s exercise of emergency authority to halt or prevent such a discharge;</w:t>
      </w:r>
    </w:p>
    <w:p w14:paraId="53D5438B" w14:textId="77777777" w:rsidR="00586426" w:rsidRPr="00586426" w:rsidRDefault="00586426" w:rsidP="00586426">
      <w:pPr>
        <w:pStyle w:val="Heading4"/>
        <w:ind w:left="1080" w:hanging="540"/>
        <w:rPr>
          <w:rFonts w:ascii="Arial" w:hAnsi="Arial"/>
          <w:i w:val="0"/>
          <w:iCs w:val="0"/>
          <w:color w:val="auto"/>
          <w:sz w:val="22"/>
          <w:szCs w:val="22"/>
        </w:rPr>
      </w:pPr>
      <w:r w:rsidRPr="00586426">
        <w:rPr>
          <w:rFonts w:ascii="Arial" w:hAnsi="Arial"/>
          <w:i w:val="0"/>
          <w:iCs w:val="0"/>
          <w:color w:val="auto"/>
          <w:sz w:val="22"/>
          <w:szCs w:val="22"/>
        </w:rPr>
        <w:t>(5)</w:t>
      </w:r>
      <w:r w:rsidRPr="00586426">
        <w:rPr>
          <w:rFonts w:ascii="Arial" w:hAnsi="Arial"/>
          <w:i w:val="0"/>
          <w:iCs w:val="0"/>
          <w:color w:val="auto"/>
          <w:sz w:val="22"/>
          <w:szCs w:val="22"/>
        </w:rPr>
        <w:tab/>
        <w:t>Failure to meet, within ninety (90) days of the scheduled date, a compliance schedule milestone contained in a wastewater discharge permit or enforcement order for starting construction, completing construction, or attaining final compliance;</w:t>
      </w:r>
    </w:p>
    <w:p w14:paraId="378D1B71" w14:textId="77777777" w:rsidR="00586426" w:rsidRPr="00586426" w:rsidRDefault="00586426" w:rsidP="00586426">
      <w:pPr>
        <w:pStyle w:val="Heading4"/>
        <w:ind w:left="1080" w:hanging="540"/>
        <w:rPr>
          <w:rFonts w:ascii="Arial" w:hAnsi="Arial"/>
          <w:i w:val="0"/>
          <w:iCs w:val="0"/>
          <w:color w:val="auto"/>
          <w:sz w:val="22"/>
          <w:szCs w:val="22"/>
        </w:rPr>
      </w:pPr>
      <w:r w:rsidRPr="00586426">
        <w:rPr>
          <w:rFonts w:ascii="Arial" w:hAnsi="Arial"/>
          <w:i w:val="0"/>
          <w:iCs w:val="0"/>
          <w:color w:val="auto"/>
          <w:sz w:val="22"/>
          <w:szCs w:val="22"/>
        </w:rPr>
        <w:t>(6)</w:t>
      </w:r>
      <w:r w:rsidRPr="00586426">
        <w:rPr>
          <w:rFonts w:ascii="Arial" w:hAnsi="Arial"/>
          <w:i w:val="0"/>
          <w:iCs w:val="0"/>
          <w:color w:val="auto"/>
          <w:sz w:val="22"/>
          <w:szCs w:val="22"/>
        </w:rPr>
        <w:tab/>
        <w:t>Failure to provide, within forty-five (45) days after the due date, required reports, such as baseline monitoring reports, ninety (90) day compliance reports, periodic self-monitoring reports, and reports on compliance with compliance schedules;</w:t>
      </w:r>
    </w:p>
    <w:p w14:paraId="3B627FC3" w14:textId="77777777" w:rsidR="00586426" w:rsidRPr="00586426" w:rsidRDefault="00586426" w:rsidP="00586426">
      <w:pPr>
        <w:pStyle w:val="Heading4"/>
        <w:ind w:left="1080" w:hanging="540"/>
        <w:rPr>
          <w:rFonts w:ascii="Arial" w:hAnsi="Arial"/>
          <w:i w:val="0"/>
          <w:iCs w:val="0"/>
          <w:color w:val="auto"/>
          <w:sz w:val="22"/>
          <w:szCs w:val="22"/>
        </w:rPr>
      </w:pPr>
      <w:r w:rsidRPr="00586426">
        <w:rPr>
          <w:rFonts w:ascii="Arial" w:hAnsi="Arial"/>
          <w:i w:val="0"/>
          <w:iCs w:val="0"/>
          <w:color w:val="auto"/>
          <w:sz w:val="22"/>
          <w:szCs w:val="22"/>
        </w:rPr>
        <w:t>(7)</w:t>
      </w:r>
      <w:r w:rsidRPr="00586426">
        <w:rPr>
          <w:rFonts w:ascii="Arial" w:hAnsi="Arial"/>
          <w:i w:val="0"/>
          <w:iCs w:val="0"/>
          <w:color w:val="auto"/>
          <w:sz w:val="22"/>
          <w:szCs w:val="22"/>
        </w:rPr>
        <w:tab/>
        <w:t>Failure to accurately report noncompliance; or</w:t>
      </w:r>
    </w:p>
    <w:p w14:paraId="4CCC4124" w14:textId="77777777" w:rsidR="00586426" w:rsidRPr="00586426" w:rsidRDefault="00586426" w:rsidP="00586426">
      <w:pPr>
        <w:pStyle w:val="Heading4"/>
        <w:ind w:left="1080" w:hanging="540"/>
        <w:rPr>
          <w:rFonts w:ascii="Arial" w:hAnsi="Arial"/>
          <w:i w:val="0"/>
          <w:iCs w:val="0"/>
          <w:color w:val="auto"/>
          <w:sz w:val="22"/>
          <w:szCs w:val="22"/>
        </w:rPr>
      </w:pPr>
      <w:r w:rsidRPr="00586426">
        <w:rPr>
          <w:rFonts w:ascii="Arial" w:hAnsi="Arial"/>
          <w:i w:val="0"/>
          <w:iCs w:val="0"/>
          <w:color w:val="auto"/>
          <w:sz w:val="22"/>
          <w:szCs w:val="22"/>
        </w:rPr>
        <w:t>(8)</w:t>
      </w:r>
      <w:r w:rsidRPr="00586426">
        <w:rPr>
          <w:rFonts w:ascii="Arial" w:hAnsi="Arial"/>
          <w:i w:val="0"/>
          <w:iCs w:val="0"/>
          <w:color w:val="auto"/>
          <w:sz w:val="22"/>
          <w:szCs w:val="22"/>
        </w:rPr>
        <w:tab/>
        <w:t>Any other violation or group of violations, which may include a violation of Best Management Practices which JEA determines will adversely affect the operation or implementation of JEA’s pretreatment program.</w:t>
      </w:r>
    </w:p>
    <w:p w14:paraId="52EBF218" w14:textId="77777777" w:rsidR="00586426" w:rsidRDefault="00586426" w:rsidP="00586426">
      <w:pPr>
        <w:pStyle w:val="Heading4"/>
        <w:ind w:left="1080" w:hanging="540"/>
        <w:rPr>
          <w:rFonts w:ascii="Arial" w:hAnsi="Arial"/>
          <w:sz w:val="24"/>
        </w:rPr>
      </w:pPr>
    </w:p>
    <w:p w14:paraId="40B371C3" w14:textId="77777777" w:rsidR="00586426" w:rsidRDefault="00586426" w:rsidP="00586426">
      <w:pPr>
        <w:tabs>
          <w:tab w:val="left" w:pos="3600"/>
          <w:tab w:val="left" w:pos="8640"/>
          <w:tab w:val="left" w:pos="12600"/>
        </w:tabs>
        <w:rPr>
          <w:rFonts w:ascii="Arial" w:hAnsi="Arial"/>
          <w:sz w:val="24"/>
        </w:rPr>
      </w:pPr>
      <w:r>
        <w:rPr>
          <w:rFonts w:ascii="Arial" w:hAnsi="Arial"/>
          <w:sz w:val="24"/>
        </w:rP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461"/>
      </w:tblGrid>
      <w:tr w:rsidR="00586426" w:rsidRPr="0045444D" w14:paraId="5D376BC6" w14:textId="77777777" w:rsidTr="00586426">
        <w:trPr>
          <w:cantSplit/>
        </w:trPr>
        <w:tc>
          <w:tcPr>
            <w:tcW w:w="10075" w:type="dxa"/>
            <w:gridSpan w:val="4"/>
          </w:tcPr>
          <w:p w14:paraId="3F202706" w14:textId="77777777" w:rsidR="00586426" w:rsidRPr="0045444D" w:rsidRDefault="00586426" w:rsidP="00CE354D">
            <w:pPr>
              <w:tabs>
                <w:tab w:val="left" w:pos="2160"/>
                <w:tab w:val="center" w:pos="2250"/>
                <w:tab w:val="left" w:pos="3600"/>
                <w:tab w:val="left" w:pos="8640"/>
                <w:tab w:val="left" w:pos="12600"/>
              </w:tabs>
              <w:jc w:val="center"/>
              <w:rPr>
                <w:rFonts w:ascii="Arial" w:hAnsi="Arial" w:cs="Arial"/>
                <w:b/>
                <w:sz w:val="28"/>
              </w:rPr>
            </w:pPr>
            <w:r w:rsidRPr="0045444D">
              <w:rPr>
                <w:rFonts w:ascii="Arial" w:hAnsi="Arial" w:cs="Arial"/>
                <w:b/>
                <w:sz w:val="28"/>
              </w:rPr>
              <w:lastRenderedPageBreak/>
              <w:t>Local Limits</w:t>
            </w:r>
          </w:p>
          <w:p w14:paraId="4F85DB35"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2507790B" w14:textId="77777777" w:rsidTr="00586426">
        <w:tc>
          <w:tcPr>
            <w:tcW w:w="2538" w:type="dxa"/>
          </w:tcPr>
          <w:p w14:paraId="322E7DDF" w14:textId="77777777" w:rsidR="00586426" w:rsidRPr="0045444D" w:rsidRDefault="00586426" w:rsidP="00CE354D">
            <w:pPr>
              <w:pStyle w:val="Heading5"/>
              <w:rPr>
                <w:rFonts w:ascii="Arial" w:hAnsi="Arial" w:cs="Arial"/>
              </w:rPr>
            </w:pPr>
            <w:r w:rsidRPr="00586426">
              <w:rPr>
                <w:rFonts w:ascii="Arial" w:hAnsi="Arial" w:cs="Arial"/>
                <w:color w:val="auto"/>
              </w:rPr>
              <w:t>Parameter</w:t>
            </w:r>
          </w:p>
        </w:tc>
        <w:tc>
          <w:tcPr>
            <w:tcW w:w="2538" w:type="dxa"/>
          </w:tcPr>
          <w:p w14:paraId="3C9F9FEA" w14:textId="77777777" w:rsidR="00586426" w:rsidRPr="00586426" w:rsidRDefault="00586426" w:rsidP="00CE354D">
            <w:pPr>
              <w:pStyle w:val="Heading5"/>
              <w:rPr>
                <w:rFonts w:ascii="Arial" w:hAnsi="Arial" w:cs="Arial"/>
                <w:color w:val="auto"/>
              </w:rPr>
            </w:pPr>
            <w:r w:rsidRPr="00586426">
              <w:rPr>
                <w:rFonts w:ascii="Arial" w:hAnsi="Arial" w:cs="Arial"/>
                <w:color w:val="auto"/>
              </w:rPr>
              <w:t>JEA’s Max allowable discharge limit</w:t>
            </w:r>
          </w:p>
        </w:tc>
        <w:tc>
          <w:tcPr>
            <w:tcW w:w="2538" w:type="dxa"/>
          </w:tcPr>
          <w:p w14:paraId="52C6ADEC" w14:textId="77777777" w:rsidR="00586426" w:rsidRPr="00586426" w:rsidRDefault="00586426" w:rsidP="00CE354D">
            <w:pPr>
              <w:pStyle w:val="Heading5"/>
              <w:rPr>
                <w:rFonts w:ascii="Arial" w:hAnsi="Arial" w:cs="Arial"/>
                <w:color w:val="auto"/>
              </w:rPr>
            </w:pPr>
            <w:r w:rsidRPr="00586426">
              <w:rPr>
                <w:rFonts w:ascii="Arial" w:hAnsi="Arial" w:cs="Arial"/>
                <w:color w:val="auto"/>
              </w:rPr>
              <w:t xml:space="preserve">TRC (20% or </w:t>
            </w:r>
            <w:r w:rsidRPr="00586426">
              <w:rPr>
                <w:rFonts w:ascii="Arial" w:hAnsi="Arial" w:cs="Arial"/>
                <w:color w:val="FF0000"/>
              </w:rPr>
              <w:t xml:space="preserve">40% </w:t>
            </w:r>
            <w:r w:rsidRPr="00586426">
              <w:rPr>
                <w:rFonts w:ascii="Arial" w:hAnsi="Arial" w:cs="Arial"/>
                <w:color w:val="auto"/>
              </w:rPr>
              <w:t>over the max allowable)</w:t>
            </w:r>
          </w:p>
        </w:tc>
        <w:tc>
          <w:tcPr>
            <w:tcW w:w="2461" w:type="dxa"/>
          </w:tcPr>
          <w:p w14:paraId="2B0B0F60" w14:textId="77777777" w:rsidR="00586426" w:rsidRPr="00586426" w:rsidRDefault="00586426" w:rsidP="00CE354D">
            <w:pPr>
              <w:pStyle w:val="Heading1"/>
              <w:rPr>
                <w:rFonts w:ascii="Arial" w:hAnsi="Arial" w:cs="Arial"/>
                <w:color w:val="auto"/>
              </w:rPr>
            </w:pPr>
            <w:r w:rsidRPr="00586426">
              <w:rPr>
                <w:rFonts w:ascii="Arial" w:hAnsi="Arial" w:cs="Arial"/>
                <w:color w:val="auto"/>
              </w:rPr>
              <w:t>POTW</w:t>
            </w:r>
          </w:p>
          <w:p w14:paraId="6259AB24" w14:textId="77777777" w:rsidR="00586426" w:rsidRPr="00586426" w:rsidRDefault="00586426" w:rsidP="00CE354D">
            <w:pPr>
              <w:tabs>
                <w:tab w:val="left" w:pos="3600"/>
                <w:tab w:val="left" w:pos="8640"/>
                <w:tab w:val="left" w:pos="12600"/>
              </w:tabs>
              <w:rPr>
                <w:rFonts w:ascii="Arial" w:hAnsi="Arial" w:cs="Arial"/>
                <w:sz w:val="24"/>
              </w:rPr>
            </w:pPr>
          </w:p>
        </w:tc>
      </w:tr>
      <w:tr w:rsidR="00586426" w:rsidRPr="0045444D" w14:paraId="6F80D76F" w14:textId="77777777" w:rsidTr="00586426">
        <w:tc>
          <w:tcPr>
            <w:tcW w:w="2538" w:type="dxa"/>
          </w:tcPr>
          <w:p w14:paraId="2ABB633B"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Cadmium</w:t>
            </w:r>
          </w:p>
        </w:tc>
        <w:tc>
          <w:tcPr>
            <w:tcW w:w="2538" w:type="dxa"/>
          </w:tcPr>
          <w:p w14:paraId="71DA85CE"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1.20</w:t>
            </w:r>
          </w:p>
        </w:tc>
        <w:tc>
          <w:tcPr>
            <w:tcW w:w="2538" w:type="dxa"/>
          </w:tcPr>
          <w:p w14:paraId="674C1297"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1.44</w:t>
            </w:r>
            <w:r w:rsidRPr="0045444D">
              <w:rPr>
                <w:rFonts w:ascii="Arial" w:hAnsi="Arial" w:cs="Arial"/>
                <w:sz w:val="24"/>
              </w:rPr>
              <w:tab/>
            </w:r>
          </w:p>
        </w:tc>
        <w:tc>
          <w:tcPr>
            <w:tcW w:w="2461" w:type="dxa"/>
          </w:tcPr>
          <w:p w14:paraId="6C721447"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40AFFC70" w14:textId="77777777" w:rsidTr="00586426">
        <w:tc>
          <w:tcPr>
            <w:tcW w:w="2538" w:type="dxa"/>
          </w:tcPr>
          <w:p w14:paraId="3CD5B00A"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Chromium</w:t>
            </w:r>
          </w:p>
        </w:tc>
        <w:tc>
          <w:tcPr>
            <w:tcW w:w="2538" w:type="dxa"/>
          </w:tcPr>
          <w:p w14:paraId="6CCF4D11"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10.00</w:t>
            </w:r>
          </w:p>
        </w:tc>
        <w:tc>
          <w:tcPr>
            <w:tcW w:w="2538" w:type="dxa"/>
          </w:tcPr>
          <w:p w14:paraId="67CC726B"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12.00</w:t>
            </w:r>
          </w:p>
        </w:tc>
        <w:tc>
          <w:tcPr>
            <w:tcW w:w="2461" w:type="dxa"/>
          </w:tcPr>
          <w:p w14:paraId="294E6CC8"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7C0BA846" w14:textId="77777777" w:rsidTr="00586426">
        <w:tc>
          <w:tcPr>
            <w:tcW w:w="2538" w:type="dxa"/>
          </w:tcPr>
          <w:p w14:paraId="3A742EFA"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Copper</w:t>
            </w:r>
          </w:p>
        </w:tc>
        <w:tc>
          <w:tcPr>
            <w:tcW w:w="2538" w:type="dxa"/>
          </w:tcPr>
          <w:p w14:paraId="163B01F1"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3.38</w:t>
            </w:r>
          </w:p>
        </w:tc>
        <w:tc>
          <w:tcPr>
            <w:tcW w:w="2538" w:type="dxa"/>
          </w:tcPr>
          <w:p w14:paraId="70C63B36"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4.06</w:t>
            </w:r>
          </w:p>
        </w:tc>
        <w:tc>
          <w:tcPr>
            <w:tcW w:w="2461" w:type="dxa"/>
          </w:tcPr>
          <w:p w14:paraId="7FDA7D73" w14:textId="73F3682D" w:rsidR="00586426" w:rsidRPr="0045444D" w:rsidRDefault="000D606E" w:rsidP="00CE354D">
            <w:pPr>
              <w:tabs>
                <w:tab w:val="left" w:pos="3600"/>
                <w:tab w:val="left" w:pos="8640"/>
                <w:tab w:val="left" w:pos="12600"/>
              </w:tabs>
              <w:rPr>
                <w:rFonts w:ascii="Arial" w:hAnsi="Arial" w:cs="Arial"/>
                <w:sz w:val="24"/>
              </w:rPr>
            </w:pPr>
            <w:r>
              <w:rPr>
                <w:rFonts w:ascii="Arial" w:hAnsi="Arial" w:cs="Arial"/>
                <w:sz w:val="24"/>
              </w:rPr>
              <w:t>Buckman St WRF</w:t>
            </w:r>
            <w:r w:rsidR="00586426" w:rsidRPr="0045444D">
              <w:rPr>
                <w:rFonts w:ascii="Arial" w:hAnsi="Arial" w:cs="Arial"/>
                <w:sz w:val="24"/>
              </w:rPr>
              <w:t xml:space="preserve">, </w:t>
            </w:r>
            <w:r>
              <w:rPr>
                <w:rFonts w:ascii="Arial" w:hAnsi="Arial" w:cs="Arial"/>
                <w:sz w:val="24"/>
              </w:rPr>
              <w:t>Arlington East WRF</w:t>
            </w:r>
            <w:r w:rsidR="00586426" w:rsidRPr="0045444D">
              <w:rPr>
                <w:rFonts w:ascii="Arial" w:hAnsi="Arial" w:cs="Arial"/>
                <w:sz w:val="24"/>
              </w:rPr>
              <w:t xml:space="preserve">, </w:t>
            </w:r>
            <w:r>
              <w:rPr>
                <w:rFonts w:ascii="Arial" w:hAnsi="Arial" w:cs="Arial"/>
                <w:sz w:val="24"/>
              </w:rPr>
              <w:t>Mandarin WRF</w:t>
            </w:r>
          </w:p>
        </w:tc>
      </w:tr>
      <w:tr w:rsidR="00586426" w:rsidRPr="0045444D" w14:paraId="1A66ACD5" w14:textId="77777777" w:rsidTr="00586426">
        <w:tc>
          <w:tcPr>
            <w:tcW w:w="2538" w:type="dxa"/>
          </w:tcPr>
          <w:p w14:paraId="66437D3D" w14:textId="77777777" w:rsidR="00586426" w:rsidRPr="0045444D" w:rsidRDefault="00586426" w:rsidP="00CE354D">
            <w:pPr>
              <w:tabs>
                <w:tab w:val="left" w:pos="3600"/>
                <w:tab w:val="left" w:pos="8640"/>
                <w:tab w:val="left" w:pos="12600"/>
              </w:tabs>
              <w:rPr>
                <w:rFonts w:ascii="Arial" w:hAnsi="Arial" w:cs="Arial"/>
                <w:sz w:val="24"/>
              </w:rPr>
            </w:pPr>
          </w:p>
        </w:tc>
        <w:tc>
          <w:tcPr>
            <w:tcW w:w="2538" w:type="dxa"/>
          </w:tcPr>
          <w:p w14:paraId="46287815"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1.00</w:t>
            </w:r>
          </w:p>
        </w:tc>
        <w:tc>
          <w:tcPr>
            <w:tcW w:w="2538" w:type="dxa"/>
          </w:tcPr>
          <w:p w14:paraId="19939F30"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1.20</w:t>
            </w:r>
          </w:p>
        </w:tc>
        <w:tc>
          <w:tcPr>
            <w:tcW w:w="2461" w:type="dxa"/>
          </w:tcPr>
          <w:p w14:paraId="4F4EBAF2" w14:textId="5AC6C10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 xml:space="preserve">D II </w:t>
            </w:r>
            <w:r w:rsidR="000D606E">
              <w:rPr>
                <w:rFonts w:ascii="Arial" w:hAnsi="Arial" w:cs="Arial"/>
                <w:sz w:val="24"/>
              </w:rPr>
              <w:t xml:space="preserve">(Cedar Bay) </w:t>
            </w:r>
            <w:r w:rsidRPr="0045444D">
              <w:rPr>
                <w:rFonts w:ascii="Arial" w:hAnsi="Arial" w:cs="Arial"/>
                <w:sz w:val="24"/>
              </w:rPr>
              <w:t>only</w:t>
            </w:r>
          </w:p>
        </w:tc>
      </w:tr>
      <w:tr w:rsidR="00586426" w:rsidRPr="0045444D" w14:paraId="02A7E90F" w14:textId="77777777" w:rsidTr="00586426">
        <w:tc>
          <w:tcPr>
            <w:tcW w:w="2538" w:type="dxa"/>
          </w:tcPr>
          <w:p w14:paraId="700135D4"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Cyanide, T</w:t>
            </w:r>
          </w:p>
        </w:tc>
        <w:tc>
          <w:tcPr>
            <w:tcW w:w="2538" w:type="dxa"/>
          </w:tcPr>
          <w:p w14:paraId="797AE6AC"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3.38</w:t>
            </w:r>
          </w:p>
        </w:tc>
        <w:tc>
          <w:tcPr>
            <w:tcW w:w="2538" w:type="dxa"/>
          </w:tcPr>
          <w:p w14:paraId="7AF03A9C"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4.06</w:t>
            </w:r>
          </w:p>
        </w:tc>
        <w:tc>
          <w:tcPr>
            <w:tcW w:w="2461" w:type="dxa"/>
          </w:tcPr>
          <w:p w14:paraId="6D0562B0"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0F4D9F5C" w14:textId="77777777" w:rsidTr="00586426">
        <w:tc>
          <w:tcPr>
            <w:tcW w:w="2538" w:type="dxa"/>
          </w:tcPr>
          <w:p w14:paraId="7EA4A64F"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Lead</w:t>
            </w:r>
          </w:p>
        </w:tc>
        <w:tc>
          <w:tcPr>
            <w:tcW w:w="2538" w:type="dxa"/>
          </w:tcPr>
          <w:p w14:paraId="0D8D17F2"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1.40</w:t>
            </w:r>
          </w:p>
        </w:tc>
        <w:tc>
          <w:tcPr>
            <w:tcW w:w="2538" w:type="dxa"/>
          </w:tcPr>
          <w:p w14:paraId="78DC510A"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1.68</w:t>
            </w:r>
          </w:p>
        </w:tc>
        <w:tc>
          <w:tcPr>
            <w:tcW w:w="2461" w:type="dxa"/>
          </w:tcPr>
          <w:p w14:paraId="371DDA54" w14:textId="3B387C76" w:rsidR="00586426" w:rsidRPr="0045444D" w:rsidRDefault="000D606E" w:rsidP="00CE354D">
            <w:pPr>
              <w:tabs>
                <w:tab w:val="left" w:pos="3600"/>
                <w:tab w:val="left" w:pos="8640"/>
                <w:tab w:val="left" w:pos="12600"/>
              </w:tabs>
              <w:rPr>
                <w:rFonts w:ascii="Arial" w:hAnsi="Arial" w:cs="Arial"/>
                <w:sz w:val="24"/>
              </w:rPr>
            </w:pPr>
            <w:r>
              <w:rPr>
                <w:rFonts w:ascii="Arial" w:hAnsi="Arial" w:cs="Arial"/>
                <w:sz w:val="24"/>
              </w:rPr>
              <w:t>Buckman St WRF</w:t>
            </w:r>
          </w:p>
        </w:tc>
      </w:tr>
      <w:tr w:rsidR="00586426" w:rsidRPr="0045444D" w14:paraId="3055A2FF" w14:textId="77777777" w:rsidTr="00586426">
        <w:tc>
          <w:tcPr>
            <w:tcW w:w="2538" w:type="dxa"/>
          </w:tcPr>
          <w:p w14:paraId="2FE753E8" w14:textId="77777777" w:rsidR="00586426" w:rsidRPr="0045444D" w:rsidRDefault="00586426" w:rsidP="00CE354D">
            <w:pPr>
              <w:tabs>
                <w:tab w:val="left" w:pos="3600"/>
                <w:tab w:val="left" w:pos="8640"/>
                <w:tab w:val="left" w:pos="12600"/>
              </w:tabs>
              <w:rPr>
                <w:rFonts w:ascii="Arial" w:hAnsi="Arial" w:cs="Arial"/>
                <w:sz w:val="24"/>
              </w:rPr>
            </w:pPr>
          </w:p>
        </w:tc>
        <w:tc>
          <w:tcPr>
            <w:tcW w:w="2538" w:type="dxa"/>
          </w:tcPr>
          <w:p w14:paraId="588AA9B2"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0.70</w:t>
            </w:r>
          </w:p>
        </w:tc>
        <w:tc>
          <w:tcPr>
            <w:tcW w:w="2538" w:type="dxa"/>
          </w:tcPr>
          <w:p w14:paraId="5A9CF744"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0.84</w:t>
            </w:r>
          </w:p>
        </w:tc>
        <w:tc>
          <w:tcPr>
            <w:tcW w:w="2461" w:type="dxa"/>
          </w:tcPr>
          <w:p w14:paraId="52C6D13B" w14:textId="1DA842A4"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D II</w:t>
            </w:r>
            <w:r w:rsidR="000D606E">
              <w:rPr>
                <w:rFonts w:ascii="Arial" w:hAnsi="Arial" w:cs="Arial"/>
                <w:sz w:val="24"/>
              </w:rPr>
              <w:t xml:space="preserve"> (Cedar Bay)</w:t>
            </w:r>
          </w:p>
        </w:tc>
      </w:tr>
      <w:tr w:rsidR="00586426" w:rsidRPr="0045444D" w14:paraId="27995AEB" w14:textId="77777777" w:rsidTr="00586426">
        <w:tc>
          <w:tcPr>
            <w:tcW w:w="2538" w:type="dxa"/>
          </w:tcPr>
          <w:p w14:paraId="605ACCF4" w14:textId="77777777" w:rsidR="00586426" w:rsidRPr="0045444D" w:rsidRDefault="00586426" w:rsidP="00CE354D">
            <w:pPr>
              <w:tabs>
                <w:tab w:val="left" w:pos="3600"/>
                <w:tab w:val="left" w:pos="8640"/>
                <w:tab w:val="left" w:pos="12600"/>
              </w:tabs>
              <w:rPr>
                <w:rFonts w:ascii="Arial" w:hAnsi="Arial" w:cs="Arial"/>
                <w:sz w:val="24"/>
              </w:rPr>
            </w:pPr>
          </w:p>
        </w:tc>
        <w:tc>
          <w:tcPr>
            <w:tcW w:w="2538" w:type="dxa"/>
          </w:tcPr>
          <w:p w14:paraId="16758EF3"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1.90</w:t>
            </w:r>
          </w:p>
        </w:tc>
        <w:tc>
          <w:tcPr>
            <w:tcW w:w="2538" w:type="dxa"/>
          </w:tcPr>
          <w:p w14:paraId="36F9BFBE"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2.28</w:t>
            </w:r>
          </w:p>
        </w:tc>
        <w:tc>
          <w:tcPr>
            <w:tcW w:w="2461" w:type="dxa"/>
          </w:tcPr>
          <w:p w14:paraId="263DB018" w14:textId="00902015" w:rsidR="00586426" w:rsidRPr="0045444D" w:rsidRDefault="005E0BF2" w:rsidP="00CE354D">
            <w:pPr>
              <w:tabs>
                <w:tab w:val="left" w:pos="3600"/>
                <w:tab w:val="left" w:pos="8640"/>
                <w:tab w:val="left" w:pos="12600"/>
              </w:tabs>
              <w:rPr>
                <w:rFonts w:ascii="Arial" w:hAnsi="Arial" w:cs="Arial"/>
                <w:sz w:val="24"/>
              </w:rPr>
            </w:pPr>
            <w:r>
              <w:rPr>
                <w:rFonts w:ascii="Arial" w:hAnsi="Arial" w:cs="Arial"/>
                <w:sz w:val="24"/>
              </w:rPr>
              <w:t>Southwest WRF</w:t>
            </w:r>
            <w:r w:rsidR="00586426" w:rsidRPr="0045444D">
              <w:rPr>
                <w:rFonts w:ascii="Arial" w:hAnsi="Arial" w:cs="Arial"/>
                <w:sz w:val="24"/>
              </w:rPr>
              <w:t xml:space="preserve"> &amp; </w:t>
            </w:r>
            <w:r>
              <w:rPr>
                <w:rFonts w:ascii="Arial" w:hAnsi="Arial" w:cs="Arial"/>
                <w:sz w:val="24"/>
              </w:rPr>
              <w:t>Mandarin WRF</w:t>
            </w:r>
          </w:p>
        </w:tc>
      </w:tr>
      <w:tr w:rsidR="00586426" w:rsidRPr="0045444D" w14:paraId="1E308EF0" w14:textId="77777777" w:rsidTr="00586426">
        <w:tc>
          <w:tcPr>
            <w:tcW w:w="2538" w:type="dxa"/>
          </w:tcPr>
          <w:p w14:paraId="4141A6D0" w14:textId="77777777" w:rsidR="00586426" w:rsidRPr="0045444D" w:rsidRDefault="00586426" w:rsidP="00CE354D">
            <w:pPr>
              <w:tabs>
                <w:tab w:val="left" w:pos="3600"/>
                <w:tab w:val="left" w:pos="8640"/>
                <w:tab w:val="left" w:pos="12600"/>
              </w:tabs>
              <w:rPr>
                <w:rFonts w:ascii="Arial" w:hAnsi="Arial" w:cs="Arial"/>
                <w:sz w:val="24"/>
              </w:rPr>
            </w:pPr>
          </w:p>
        </w:tc>
        <w:tc>
          <w:tcPr>
            <w:tcW w:w="2538" w:type="dxa"/>
          </w:tcPr>
          <w:p w14:paraId="0EA9514F"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1.17</w:t>
            </w:r>
          </w:p>
        </w:tc>
        <w:tc>
          <w:tcPr>
            <w:tcW w:w="2538" w:type="dxa"/>
          </w:tcPr>
          <w:p w14:paraId="10A0EBB7"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1.40</w:t>
            </w:r>
          </w:p>
        </w:tc>
        <w:tc>
          <w:tcPr>
            <w:tcW w:w="2461" w:type="dxa"/>
          </w:tcPr>
          <w:p w14:paraId="087F7ECF" w14:textId="478902D0" w:rsidR="00586426" w:rsidRPr="0045444D" w:rsidRDefault="005E0BF2" w:rsidP="00CE354D">
            <w:pPr>
              <w:tabs>
                <w:tab w:val="left" w:pos="3600"/>
                <w:tab w:val="left" w:pos="8640"/>
                <w:tab w:val="left" w:pos="12600"/>
              </w:tabs>
              <w:rPr>
                <w:rFonts w:ascii="Arial" w:hAnsi="Arial" w:cs="Arial"/>
                <w:sz w:val="24"/>
              </w:rPr>
            </w:pPr>
            <w:r>
              <w:rPr>
                <w:rFonts w:ascii="Arial" w:hAnsi="Arial" w:cs="Arial"/>
                <w:sz w:val="24"/>
              </w:rPr>
              <w:t>Arlington East WRF</w:t>
            </w:r>
          </w:p>
        </w:tc>
      </w:tr>
      <w:tr w:rsidR="00586426" w:rsidRPr="0045444D" w14:paraId="528CFDDD" w14:textId="77777777" w:rsidTr="00586426">
        <w:tc>
          <w:tcPr>
            <w:tcW w:w="2538" w:type="dxa"/>
          </w:tcPr>
          <w:p w14:paraId="47E84875"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Mercury</w:t>
            </w:r>
          </w:p>
        </w:tc>
        <w:tc>
          <w:tcPr>
            <w:tcW w:w="2538" w:type="dxa"/>
          </w:tcPr>
          <w:p w14:paraId="35307DFB"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0.006</w:t>
            </w:r>
          </w:p>
        </w:tc>
        <w:tc>
          <w:tcPr>
            <w:tcW w:w="2538" w:type="dxa"/>
          </w:tcPr>
          <w:p w14:paraId="205DD8FB"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0.007</w:t>
            </w:r>
          </w:p>
        </w:tc>
        <w:tc>
          <w:tcPr>
            <w:tcW w:w="2461" w:type="dxa"/>
          </w:tcPr>
          <w:p w14:paraId="4B59E402"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6303E933" w14:textId="77777777" w:rsidTr="00586426">
        <w:tc>
          <w:tcPr>
            <w:tcW w:w="2538" w:type="dxa"/>
          </w:tcPr>
          <w:p w14:paraId="05F3D8A9"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Molybdenum</w:t>
            </w:r>
          </w:p>
        </w:tc>
        <w:tc>
          <w:tcPr>
            <w:tcW w:w="2538" w:type="dxa"/>
          </w:tcPr>
          <w:p w14:paraId="76CB88E8"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2.66</w:t>
            </w:r>
          </w:p>
        </w:tc>
        <w:tc>
          <w:tcPr>
            <w:tcW w:w="2538" w:type="dxa"/>
          </w:tcPr>
          <w:p w14:paraId="7950315A"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3.19</w:t>
            </w:r>
          </w:p>
        </w:tc>
        <w:tc>
          <w:tcPr>
            <w:tcW w:w="2461" w:type="dxa"/>
          </w:tcPr>
          <w:p w14:paraId="14823A51" w14:textId="7ED335F9" w:rsidR="00586426" w:rsidRPr="0045444D" w:rsidRDefault="005E0BF2" w:rsidP="00CE354D">
            <w:pPr>
              <w:tabs>
                <w:tab w:val="left" w:pos="3600"/>
                <w:tab w:val="left" w:pos="8640"/>
                <w:tab w:val="left" w:pos="12600"/>
              </w:tabs>
              <w:rPr>
                <w:rFonts w:ascii="Arial" w:hAnsi="Arial" w:cs="Arial"/>
                <w:sz w:val="24"/>
              </w:rPr>
            </w:pPr>
            <w:r>
              <w:rPr>
                <w:rFonts w:ascii="Arial" w:hAnsi="Arial" w:cs="Arial"/>
                <w:sz w:val="24"/>
              </w:rPr>
              <w:t>Buckman St WRF</w:t>
            </w:r>
            <w:r w:rsidR="00586426" w:rsidRPr="0045444D">
              <w:rPr>
                <w:rFonts w:ascii="Arial" w:hAnsi="Arial" w:cs="Arial"/>
                <w:sz w:val="24"/>
              </w:rPr>
              <w:t xml:space="preserve"> only</w:t>
            </w:r>
          </w:p>
        </w:tc>
      </w:tr>
      <w:tr w:rsidR="00586426" w:rsidRPr="0045444D" w14:paraId="7C9F427C" w14:textId="77777777" w:rsidTr="00586426">
        <w:tc>
          <w:tcPr>
            <w:tcW w:w="2538" w:type="dxa"/>
          </w:tcPr>
          <w:p w14:paraId="28163713"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Nickel</w:t>
            </w:r>
          </w:p>
        </w:tc>
        <w:tc>
          <w:tcPr>
            <w:tcW w:w="2538" w:type="dxa"/>
          </w:tcPr>
          <w:p w14:paraId="774B9CCE"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3.98</w:t>
            </w:r>
          </w:p>
        </w:tc>
        <w:tc>
          <w:tcPr>
            <w:tcW w:w="2538" w:type="dxa"/>
          </w:tcPr>
          <w:p w14:paraId="2ACB80ED"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4.78</w:t>
            </w:r>
          </w:p>
        </w:tc>
        <w:tc>
          <w:tcPr>
            <w:tcW w:w="2461" w:type="dxa"/>
          </w:tcPr>
          <w:p w14:paraId="5C1DC1C3"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3992CAD0" w14:textId="77777777" w:rsidTr="00586426">
        <w:tc>
          <w:tcPr>
            <w:tcW w:w="2538" w:type="dxa"/>
          </w:tcPr>
          <w:p w14:paraId="04C6776D"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Silver</w:t>
            </w:r>
          </w:p>
        </w:tc>
        <w:tc>
          <w:tcPr>
            <w:tcW w:w="2538" w:type="dxa"/>
          </w:tcPr>
          <w:p w14:paraId="4CE0451F"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0.43</w:t>
            </w:r>
          </w:p>
        </w:tc>
        <w:tc>
          <w:tcPr>
            <w:tcW w:w="2538" w:type="dxa"/>
          </w:tcPr>
          <w:p w14:paraId="52C89CC3"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0.52</w:t>
            </w:r>
          </w:p>
        </w:tc>
        <w:tc>
          <w:tcPr>
            <w:tcW w:w="2461" w:type="dxa"/>
          </w:tcPr>
          <w:p w14:paraId="7532D142"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5A76DC48" w14:textId="77777777" w:rsidTr="00586426">
        <w:tc>
          <w:tcPr>
            <w:tcW w:w="2538" w:type="dxa"/>
          </w:tcPr>
          <w:p w14:paraId="4F7B4E86"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Zinc</w:t>
            </w:r>
          </w:p>
        </w:tc>
        <w:tc>
          <w:tcPr>
            <w:tcW w:w="2538" w:type="dxa"/>
          </w:tcPr>
          <w:p w14:paraId="48805707"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2.61</w:t>
            </w:r>
          </w:p>
        </w:tc>
        <w:tc>
          <w:tcPr>
            <w:tcW w:w="2538" w:type="dxa"/>
          </w:tcPr>
          <w:p w14:paraId="7E97740B"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3.13</w:t>
            </w:r>
          </w:p>
        </w:tc>
        <w:tc>
          <w:tcPr>
            <w:tcW w:w="2461" w:type="dxa"/>
          </w:tcPr>
          <w:p w14:paraId="134BB54C"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2F64CC22" w14:textId="77777777" w:rsidTr="00586426">
        <w:tc>
          <w:tcPr>
            <w:tcW w:w="2538" w:type="dxa"/>
          </w:tcPr>
          <w:p w14:paraId="1CED8E6D"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SGT-HEM</w:t>
            </w:r>
          </w:p>
        </w:tc>
        <w:tc>
          <w:tcPr>
            <w:tcW w:w="2538" w:type="dxa"/>
          </w:tcPr>
          <w:p w14:paraId="607D9E06"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100</w:t>
            </w:r>
          </w:p>
        </w:tc>
        <w:tc>
          <w:tcPr>
            <w:tcW w:w="2538" w:type="dxa"/>
          </w:tcPr>
          <w:p w14:paraId="4E242F62" w14:textId="77777777" w:rsidR="00586426" w:rsidRPr="0045444D" w:rsidRDefault="00586426" w:rsidP="00CE354D">
            <w:pPr>
              <w:tabs>
                <w:tab w:val="left" w:pos="3600"/>
                <w:tab w:val="left" w:pos="8640"/>
                <w:tab w:val="left" w:pos="12600"/>
              </w:tabs>
              <w:rPr>
                <w:rFonts w:ascii="Arial" w:hAnsi="Arial" w:cs="Arial"/>
                <w:color w:val="FF0000"/>
                <w:sz w:val="24"/>
              </w:rPr>
            </w:pPr>
            <w:r w:rsidRPr="0045444D">
              <w:rPr>
                <w:rFonts w:ascii="Arial" w:hAnsi="Arial" w:cs="Arial"/>
                <w:color w:val="FF0000"/>
                <w:sz w:val="24"/>
              </w:rPr>
              <w:t>140</w:t>
            </w:r>
          </w:p>
        </w:tc>
        <w:tc>
          <w:tcPr>
            <w:tcW w:w="2461" w:type="dxa"/>
          </w:tcPr>
          <w:p w14:paraId="5D3AAF52"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60CD2613" w14:textId="77777777" w:rsidTr="00586426">
        <w:tc>
          <w:tcPr>
            <w:tcW w:w="2538" w:type="dxa"/>
          </w:tcPr>
          <w:p w14:paraId="48F80B0B"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pH (low)</w:t>
            </w:r>
          </w:p>
        </w:tc>
        <w:tc>
          <w:tcPr>
            <w:tcW w:w="2538" w:type="dxa"/>
          </w:tcPr>
          <w:p w14:paraId="6ECC84E7"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5.5</w:t>
            </w:r>
          </w:p>
        </w:tc>
        <w:tc>
          <w:tcPr>
            <w:tcW w:w="2538" w:type="dxa"/>
          </w:tcPr>
          <w:p w14:paraId="37137EF1"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N/A</w:t>
            </w:r>
          </w:p>
        </w:tc>
        <w:tc>
          <w:tcPr>
            <w:tcW w:w="2461" w:type="dxa"/>
          </w:tcPr>
          <w:p w14:paraId="01F9A21F" w14:textId="77777777" w:rsidR="00586426" w:rsidRPr="0045444D" w:rsidRDefault="00586426" w:rsidP="00CE354D">
            <w:pPr>
              <w:tabs>
                <w:tab w:val="left" w:pos="3600"/>
                <w:tab w:val="left" w:pos="8640"/>
                <w:tab w:val="left" w:pos="12600"/>
              </w:tabs>
              <w:rPr>
                <w:rFonts w:ascii="Arial" w:hAnsi="Arial" w:cs="Arial"/>
                <w:sz w:val="24"/>
              </w:rPr>
            </w:pPr>
          </w:p>
        </w:tc>
      </w:tr>
      <w:tr w:rsidR="00586426" w:rsidRPr="0045444D" w14:paraId="4F0EBD0A" w14:textId="77777777" w:rsidTr="00586426">
        <w:tc>
          <w:tcPr>
            <w:tcW w:w="2538" w:type="dxa"/>
          </w:tcPr>
          <w:p w14:paraId="393A8431"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pH (high)</w:t>
            </w:r>
          </w:p>
        </w:tc>
        <w:tc>
          <w:tcPr>
            <w:tcW w:w="2538" w:type="dxa"/>
          </w:tcPr>
          <w:p w14:paraId="14EE1BC1"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12.0</w:t>
            </w:r>
          </w:p>
        </w:tc>
        <w:tc>
          <w:tcPr>
            <w:tcW w:w="2538" w:type="dxa"/>
          </w:tcPr>
          <w:p w14:paraId="0DAB6753" w14:textId="77777777" w:rsidR="00586426" w:rsidRPr="0045444D" w:rsidRDefault="00586426" w:rsidP="00CE354D">
            <w:pPr>
              <w:tabs>
                <w:tab w:val="left" w:pos="3600"/>
                <w:tab w:val="left" w:pos="8640"/>
                <w:tab w:val="left" w:pos="12600"/>
              </w:tabs>
              <w:rPr>
                <w:rFonts w:ascii="Arial" w:hAnsi="Arial" w:cs="Arial"/>
                <w:sz w:val="24"/>
              </w:rPr>
            </w:pPr>
            <w:r w:rsidRPr="0045444D">
              <w:rPr>
                <w:rFonts w:ascii="Arial" w:hAnsi="Arial" w:cs="Arial"/>
                <w:sz w:val="24"/>
              </w:rPr>
              <w:t>N/A</w:t>
            </w:r>
          </w:p>
        </w:tc>
        <w:tc>
          <w:tcPr>
            <w:tcW w:w="2461" w:type="dxa"/>
          </w:tcPr>
          <w:p w14:paraId="03A79513" w14:textId="77777777" w:rsidR="00586426" w:rsidRPr="0045444D" w:rsidRDefault="00586426" w:rsidP="00CE354D">
            <w:pPr>
              <w:tabs>
                <w:tab w:val="left" w:pos="3600"/>
                <w:tab w:val="left" w:pos="8640"/>
                <w:tab w:val="left" w:pos="12600"/>
              </w:tabs>
              <w:rPr>
                <w:rFonts w:ascii="Arial" w:hAnsi="Arial" w:cs="Arial"/>
                <w:sz w:val="24"/>
              </w:rPr>
            </w:pPr>
          </w:p>
        </w:tc>
      </w:tr>
    </w:tbl>
    <w:p w14:paraId="0376F8E3" w14:textId="77777777" w:rsidR="00586426" w:rsidRPr="0045444D" w:rsidRDefault="00586426" w:rsidP="00586426">
      <w:pPr>
        <w:tabs>
          <w:tab w:val="left" w:pos="3600"/>
          <w:tab w:val="left" w:pos="8640"/>
          <w:tab w:val="left" w:pos="12600"/>
        </w:tabs>
        <w:rPr>
          <w:rFonts w:ascii="Arial" w:hAnsi="Arial" w:cs="Arial"/>
          <w:sz w:val="24"/>
        </w:rPr>
      </w:pPr>
    </w:p>
    <w:p w14:paraId="0636BE30" w14:textId="77777777" w:rsidR="00586426" w:rsidRDefault="00586426" w:rsidP="00586426">
      <w:pPr>
        <w:tabs>
          <w:tab w:val="left" w:pos="3600"/>
          <w:tab w:val="left" w:pos="8640"/>
          <w:tab w:val="left" w:pos="12600"/>
        </w:tabs>
        <w:rPr>
          <w:rFonts w:ascii="Arial" w:hAnsi="Arial"/>
          <w:sz w:val="24"/>
        </w:rPr>
      </w:pPr>
    </w:p>
    <w:p w14:paraId="7D2AE0DF" w14:textId="77777777" w:rsidR="00586426" w:rsidRDefault="00586426" w:rsidP="00586426">
      <w:pPr>
        <w:tabs>
          <w:tab w:val="left" w:pos="3600"/>
          <w:tab w:val="left" w:pos="8640"/>
          <w:tab w:val="left" w:pos="12600"/>
        </w:tabs>
        <w:rPr>
          <w:rFonts w:ascii="Arial" w:hAnsi="Arial"/>
          <w:sz w:val="24"/>
        </w:rPr>
      </w:pPr>
    </w:p>
    <w:p w14:paraId="7101B602" w14:textId="77777777" w:rsidR="00586426" w:rsidRDefault="00586426" w:rsidP="00586426">
      <w:pPr>
        <w:tabs>
          <w:tab w:val="left" w:pos="3600"/>
          <w:tab w:val="left" w:pos="8640"/>
          <w:tab w:val="left" w:pos="12600"/>
        </w:tabs>
        <w:rPr>
          <w:rFonts w:ascii="Arial" w:hAnsi="Arial"/>
          <w:sz w:val="24"/>
        </w:rPr>
      </w:pPr>
    </w:p>
    <w:p w14:paraId="69B05340" w14:textId="77777777" w:rsidR="00586426" w:rsidRDefault="00586426" w:rsidP="00586426">
      <w:pPr>
        <w:tabs>
          <w:tab w:val="left" w:pos="3600"/>
          <w:tab w:val="left" w:pos="8640"/>
          <w:tab w:val="left" w:pos="12600"/>
        </w:tabs>
        <w:rPr>
          <w:rFonts w:ascii="Arial" w:hAnsi="Arial"/>
          <w:sz w:val="24"/>
        </w:rPr>
      </w:pPr>
    </w:p>
    <w:p w14:paraId="2C76A714" w14:textId="77777777" w:rsidR="00586426" w:rsidRDefault="00586426" w:rsidP="00586426">
      <w:pPr>
        <w:tabs>
          <w:tab w:val="left" w:pos="3600"/>
          <w:tab w:val="left" w:pos="8640"/>
          <w:tab w:val="left" w:pos="12600"/>
        </w:tabs>
        <w:rPr>
          <w:rFonts w:ascii="Arial" w:hAnsi="Arial"/>
          <w:sz w:val="24"/>
        </w:rPr>
      </w:pPr>
    </w:p>
    <w:p w14:paraId="5EF46229" w14:textId="77777777" w:rsidR="00586426" w:rsidRDefault="00586426" w:rsidP="00586426">
      <w:pPr>
        <w:tabs>
          <w:tab w:val="left" w:pos="3600"/>
          <w:tab w:val="left" w:pos="8640"/>
          <w:tab w:val="left" w:pos="12600"/>
        </w:tabs>
        <w:rPr>
          <w:rFonts w:ascii="Arial" w:hAnsi="Arial"/>
          <w:sz w:val="24"/>
        </w:rPr>
      </w:pPr>
    </w:p>
    <w:p w14:paraId="6066AC10" w14:textId="77777777" w:rsidR="00586426" w:rsidRDefault="00586426" w:rsidP="00586426">
      <w:pPr>
        <w:tabs>
          <w:tab w:val="left" w:pos="3600"/>
          <w:tab w:val="left" w:pos="8640"/>
          <w:tab w:val="left" w:pos="12600"/>
        </w:tabs>
        <w:rPr>
          <w:rFonts w:ascii="Arial" w:hAnsi="Arial"/>
          <w:sz w:val="24"/>
        </w:rPr>
      </w:pPr>
      <w:r>
        <w:rPr>
          <w:rFonts w:ascii="Arial" w:hAnsi="Arial"/>
          <w:sz w:val="24"/>
        </w:rPr>
        <w:br w:type="page"/>
      </w:r>
    </w:p>
    <w:p w14:paraId="5DE3D49A" w14:textId="77777777" w:rsidR="00586426" w:rsidRPr="00586426" w:rsidRDefault="00586426" w:rsidP="00586426">
      <w:pPr>
        <w:pStyle w:val="Heading1"/>
        <w:rPr>
          <w:rFonts w:ascii="Arial" w:hAnsi="Arial"/>
          <w:color w:val="auto"/>
          <w:szCs w:val="22"/>
        </w:rPr>
      </w:pPr>
      <w:r w:rsidRPr="00586426">
        <w:rPr>
          <w:rFonts w:ascii="Arial" w:hAnsi="Arial"/>
          <w:color w:val="auto"/>
          <w:szCs w:val="22"/>
        </w:rPr>
        <w:lastRenderedPageBreak/>
        <w:t>Determining SNC status for effluent violations</w:t>
      </w:r>
    </w:p>
    <w:p w14:paraId="085FFC47" w14:textId="77777777" w:rsidR="00586426" w:rsidRPr="00586426" w:rsidRDefault="00586426" w:rsidP="00586426">
      <w:pPr>
        <w:tabs>
          <w:tab w:val="left" w:pos="3600"/>
          <w:tab w:val="left" w:pos="8640"/>
          <w:tab w:val="left" w:pos="12600"/>
        </w:tabs>
        <w:rPr>
          <w:rFonts w:ascii="Arial" w:hAnsi="Arial"/>
          <w:sz w:val="22"/>
          <w:szCs w:val="22"/>
        </w:rPr>
      </w:pPr>
    </w:p>
    <w:p w14:paraId="655DEB95" w14:textId="77777777" w:rsidR="00586426" w:rsidRPr="00586426" w:rsidRDefault="00586426" w:rsidP="00586426">
      <w:pPr>
        <w:numPr>
          <w:ilvl w:val="0"/>
          <w:numId w:val="1"/>
        </w:numPr>
        <w:tabs>
          <w:tab w:val="clear" w:pos="360"/>
          <w:tab w:val="num" w:pos="720"/>
          <w:tab w:val="left" w:pos="3600"/>
          <w:tab w:val="left" w:pos="8640"/>
          <w:tab w:val="left" w:pos="12600"/>
        </w:tabs>
        <w:ind w:left="720"/>
        <w:rPr>
          <w:rFonts w:ascii="Arial" w:hAnsi="Arial"/>
          <w:sz w:val="22"/>
          <w:szCs w:val="22"/>
        </w:rPr>
      </w:pPr>
      <w:r w:rsidRPr="00586426">
        <w:rPr>
          <w:rFonts w:ascii="Arial" w:hAnsi="Arial"/>
          <w:sz w:val="22"/>
          <w:szCs w:val="22"/>
        </w:rPr>
        <w:t>Calculations are performed on each IU that has a documented violation of local and/or federal limits (concentration-based or mass-based for daily, 4-day average, monthly average, and 30-calendar days).</w:t>
      </w:r>
    </w:p>
    <w:p w14:paraId="5F23B162" w14:textId="77777777" w:rsidR="00586426" w:rsidRPr="00586426" w:rsidRDefault="00586426" w:rsidP="00586426">
      <w:pPr>
        <w:tabs>
          <w:tab w:val="left" w:pos="3600"/>
          <w:tab w:val="left" w:pos="8640"/>
          <w:tab w:val="left" w:pos="12600"/>
        </w:tabs>
        <w:rPr>
          <w:rFonts w:ascii="Arial" w:hAnsi="Arial"/>
          <w:sz w:val="22"/>
          <w:szCs w:val="22"/>
        </w:rPr>
      </w:pPr>
    </w:p>
    <w:p w14:paraId="7758D8E9" w14:textId="77777777" w:rsidR="00586426" w:rsidRPr="00586426" w:rsidRDefault="00586426" w:rsidP="00586426">
      <w:pPr>
        <w:numPr>
          <w:ilvl w:val="0"/>
          <w:numId w:val="1"/>
        </w:numPr>
        <w:tabs>
          <w:tab w:val="clear" w:pos="360"/>
          <w:tab w:val="num" w:pos="720"/>
          <w:tab w:val="left" w:pos="3600"/>
          <w:tab w:val="left" w:pos="8640"/>
          <w:tab w:val="left" w:pos="12600"/>
        </w:tabs>
        <w:ind w:left="720"/>
        <w:rPr>
          <w:rFonts w:ascii="Arial" w:hAnsi="Arial"/>
          <w:sz w:val="22"/>
          <w:szCs w:val="22"/>
        </w:rPr>
      </w:pPr>
      <w:r w:rsidRPr="00586426">
        <w:rPr>
          <w:rFonts w:ascii="Arial" w:hAnsi="Arial"/>
          <w:sz w:val="22"/>
          <w:szCs w:val="22"/>
        </w:rPr>
        <w:t>All data (JEA and IU) are used to perform calculations.</w:t>
      </w:r>
    </w:p>
    <w:p w14:paraId="26865A75" w14:textId="77777777" w:rsidR="00586426" w:rsidRPr="00586426" w:rsidRDefault="00586426" w:rsidP="00586426">
      <w:pPr>
        <w:tabs>
          <w:tab w:val="left" w:pos="3600"/>
          <w:tab w:val="left" w:pos="8640"/>
          <w:tab w:val="left" w:pos="12600"/>
        </w:tabs>
        <w:rPr>
          <w:rFonts w:ascii="Arial" w:hAnsi="Arial"/>
          <w:sz w:val="22"/>
          <w:szCs w:val="22"/>
        </w:rPr>
      </w:pPr>
    </w:p>
    <w:p w14:paraId="0B48FF11" w14:textId="77777777" w:rsidR="00586426" w:rsidRPr="00586426" w:rsidRDefault="00586426" w:rsidP="00586426">
      <w:pPr>
        <w:numPr>
          <w:ilvl w:val="0"/>
          <w:numId w:val="2"/>
        </w:numPr>
        <w:tabs>
          <w:tab w:val="clear" w:pos="360"/>
          <w:tab w:val="num" w:pos="720"/>
          <w:tab w:val="left" w:pos="3600"/>
          <w:tab w:val="left" w:pos="8640"/>
          <w:tab w:val="left" w:pos="12600"/>
        </w:tabs>
        <w:ind w:left="720"/>
        <w:rPr>
          <w:rFonts w:ascii="Arial" w:hAnsi="Arial"/>
          <w:sz w:val="22"/>
          <w:szCs w:val="22"/>
        </w:rPr>
      </w:pPr>
      <w:r w:rsidRPr="00586426">
        <w:rPr>
          <w:rFonts w:ascii="Arial" w:hAnsi="Arial"/>
          <w:sz w:val="22"/>
          <w:szCs w:val="22"/>
        </w:rPr>
        <w:t>Calculations are conducted either quarterly or semi-annually. JEA’s Annual report is based on a calendar year and consists of 2 six-month periods, (Jan.1 - June 30 &amp; July 1 - Dec. 31). JEA’s quarterly report requirement stems from an existing Consent Order and consists of 4 six-month periods (Jan 1 – June 30, April 1 – Sept. 30, July 1 – Dec. 31, &amp; Oct. 1 – March 31).</w:t>
      </w:r>
    </w:p>
    <w:p w14:paraId="0A6DEA5F" w14:textId="77777777" w:rsidR="00586426" w:rsidRPr="00586426" w:rsidRDefault="00586426" w:rsidP="00586426">
      <w:pPr>
        <w:tabs>
          <w:tab w:val="left" w:pos="3600"/>
          <w:tab w:val="left" w:pos="8640"/>
          <w:tab w:val="left" w:pos="12600"/>
        </w:tabs>
        <w:ind w:left="360"/>
        <w:rPr>
          <w:rFonts w:ascii="Arial" w:hAnsi="Arial"/>
          <w:sz w:val="22"/>
          <w:szCs w:val="22"/>
        </w:rPr>
      </w:pPr>
    </w:p>
    <w:p w14:paraId="35C50505" w14:textId="77777777" w:rsidR="00586426" w:rsidRPr="00586426" w:rsidRDefault="00586426" w:rsidP="00586426">
      <w:pPr>
        <w:tabs>
          <w:tab w:val="left" w:pos="12600"/>
        </w:tabs>
        <w:ind w:left="900"/>
        <w:rPr>
          <w:rFonts w:ascii="Arial" w:hAnsi="Arial"/>
          <w:sz w:val="22"/>
          <w:szCs w:val="22"/>
        </w:rPr>
      </w:pPr>
      <w:r w:rsidRPr="00586426">
        <w:rPr>
          <w:rFonts w:ascii="Arial" w:hAnsi="Arial"/>
          <w:sz w:val="22"/>
          <w:szCs w:val="22"/>
        </w:rPr>
        <w:t>1) Chronic (tip – think of this as frequency of violations)</w:t>
      </w:r>
    </w:p>
    <w:p w14:paraId="625E67BB" w14:textId="77777777" w:rsidR="00586426" w:rsidRPr="00586426" w:rsidRDefault="00586426" w:rsidP="00586426">
      <w:pPr>
        <w:ind w:left="720"/>
        <w:rPr>
          <w:sz w:val="22"/>
          <w:szCs w:val="22"/>
        </w:rPr>
      </w:pPr>
    </w:p>
    <w:p w14:paraId="5ABE65BF" w14:textId="77777777" w:rsidR="00586426" w:rsidRPr="00586426" w:rsidRDefault="00586426" w:rsidP="00586426">
      <w:pPr>
        <w:tabs>
          <w:tab w:val="left" w:pos="8640"/>
          <w:tab w:val="left" w:pos="12600"/>
        </w:tabs>
        <w:ind w:left="1260"/>
        <w:rPr>
          <w:rFonts w:ascii="Arial" w:hAnsi="Arial"/>
          <w:sz w:val="22"/>
          <w:szCs w:val="22"/>
          <w:vertAlign w:val="subscript"/>
        </w:rPr>
      </w:pPr>
      <w:r w:rsidRPr="00586426">
        <w:rPr>
          <w:rFonts w:ascii="Arial" w:hAnsi="Arial"/>
          <w:sz w:val="22"/>
          <w:szCs w:val="22"/>
          <w:u w:val="single"/>
        </w:rPr>
        <w:t># Of violations for parameter in question</w:t>
      </w:r>
      <w:r w:rsidRPr="00586426">
        <w:rPr>
          <w:rFonts w:ascii="Arial" w:hAnsi="Arial"/>
          <w:sz w:val="22"/>
          <w:szCs w:val="22"/>
        </w:rPr>
        <w:t xml:space="preserve">  = X%</w:t>
      </w:r>
    </w:p>
    <w:p w14:paraId="5552310B" w14:textId="77777777" w:rsidR="00586426" w:rsidRPr="00586426" w:rsidRDefault="00586426" w:rsidP="00586426">
      <w:pPr>
        <w:tabs>
          <w:tab w:val="left" w:pos="8640"/>
          <w:tab w:val="left" w:pos="12600"/>
        </w:tabs>
        <w:ind w:left="1440"/>
        <w:rPr>
          <w:rFonts w:ascii="Arial" w:hAnsi="Arial"/>
          <w:sz w:val="22"/>
          <w:szCs w:val="22"/>
        </w:rPr>
      </w:pPr>
      <w:r w:rsidRPr="00586426">
        <w:rPr>
          <w:rFonts w:ascii="Arial" w:hAnsi="Arial"/>
          <w:sz w:val="22"/>
          <w:szCs w:val="22"/>
        </w:rPr>
        <w:t>Total # of times parameter monitored</w:t>
      </w:r>
    </w:p>
    <w:p w14:paraId="4D3058F9" w14:textId="77777777" w:rsidR="00586426" w:rsidRPr="00586426" w:rsidRDefault="00586426" w:rsidP="00586426">
      <w:pPr>
        <w:tabs>
          <w:tab w:val="left" w:pos="8640"/>
          <w:tab w:val="left" w:pos="12600"/>
        </w:tabs>
        <w:ind w:left="1260"/>
        <w:rPr>
          <w:rFonts w:ascii="Arial" w:hAnsi="Arial"/>
          <w:sz w:val="22"/>
          <w:szCs w:val="22"/>
        </w:rPr>
      </w:pPr>
    </w:p>
    <w:p w14:paraId="52D22A76" w14:textId="77777777" w:rsidR="00586426" w:rsidRPr="00586426" w:rsidRDefault="00586426" w:rsidP="00586426">
      <w:pPr>
        <w:tabs>
          <w:tab w:val="left" w:pos="8640"/>
          <w:tab w:val="left" w:pos="12600"/>
        </w:tabs>
        <w:ind w:left="1260"/>
        <w:rPr>
          <w:rFonts w:ascii="Arial" w:hAnsi="Arial"/>
          <w:sz w:val="22"/>
          <w:szCs w:val="22"/>
        </w:rPr>
      </w:pPr>
      <w:r w:rsidRPr="00586426">
        <w:rPr>
          <w:rFonts w:ascii="Arial" w:hAnsi="Arial"/>
          <w:sz w:val="22"/>
          <w:szCs w:val="22"/>
        </w:rPr>
        <w:t xml:space="preserve">If X is </w:t>
      </w:r>
      <w:r w:rsidRPr="00586426">
        <w:rPr>
          <w:rFonts w:ascii="Arial" w:hAnsi="Arial"/>
          <w:sz w:val="22"/>
          <w:szCs w:val="22"/>
          <w:u w:val="single"/>
        </w:rPr>
        <w:t xml:space="preserve">&gt; </w:t>
      </w:r>
      <w:r w:rsidRPr="00586426">
        <w:rPr>
          <w:rFonts w:ascii="Arial" w:hAnsi="Arial"/>
          <w:sz w:val="22"/>
          <w:szCs w:val="22"/>
        </w:rPr>
        <w:t>66%, IU is in SNC (Chronic) for that parameter</w:t>
      </w:r>
    </w:p>
    <w:p w14:paraId="63B3E12F" w14:textId="77777777" w:rsidR="00586426" w:rsidRPr="00586426" w:rsidRDefault="00586426" w:rsidP="00586426">
      <w:pPr>
        <w:tabs>
          <w:tab w:val="left" w:pos="8640"/>
          <w:tab w:val="left" w:pos="12600"/>
        </w:tabs>
        <w:ind w:left="1260"/>
        <w:rPr>
          <w:rFonts w:ascii="Arial" w:hAnsi="Arial"/>
          <w:sz w:val="22"/>
          <w:szCs w:val="22"/>
        </w:rPr>
      </w:pPr>
    </w:p>
    <w:p w14:paraId="06D2ACA2" w14:textId="77777777" w:rsidR="00586426" w:rsidRPr="00586426" w:rsidRDefault="00586426" w:rsidP="00586426">
      <w:pPr>
        <w:ind w:left="1170"/>
        <w:rPr>
          <w:rFonts w:ascii="Arial" w:hAnsi="Arial"/>
          <w:sz w:val="22"/>
          <w:szCs w:val="22"/>
        </w:rPr>
      </w:pPr>
      <w:r w:rsidRPr="00586426">
        <w:rPr>
          <w:rFonts w:ascii="Arial" w:hAnsi="Arial"/>
          <w:sz w:val="22"/>
          <w:szCs w:val="22"/>
        </w:rPr>
        <w:t>Example 1:</w:t>
      </w:r>
    </w:p>
    <w:p w14:paraId="5B356D2F" w14:textId="77777777" w:rsidR="00586426" w:rsidRPr="00586426" w:rsidRDefault="00586426" w:rsidP="00586426">
      <w:pPr>
        <w:ind w:left="900"/>
        <w:rPr>
          <w:rFonts w:ascii="Arial" w:hAnsi="Arial"/>
          <w:sz w:val="22"/>
          <w:szCs w:val="22"/>
        </w:rPr>
      </w:pPr>
    </w:p>
    <w:p w14:paraId="2BAA95F7" w14:textId="77777777" w:rsidR="00586426" w:rsidRPr="00586426" w:rsidRDefault="00586426" w:rsidP="00586426">
      <w:pPr>
        <w:pStyle w:val="Heading2"/>
        <w:tabs>
          <w:tab w:val="left" w:pos="4320"/>
        </w:tabs>
        <w:ind w:left="1440"/>
        <w:rPr>
          <w:color w:val="auto"/>
          <w:sz w:val="22"/>
          <w:szCs w:val="22"/>
          <w:u w:val="single"/>
        </w:rPr>
      </w:pPr>
      <w:r w:rsidRPr="00586426">
        <w:rPr>
          <w:color w:val="auto"/>
          <w:sz w:val="22"/>
          <w:szCs w:val="22"/>
          <w:u w:val="single"/>
        </w:rPr>
        <w:t>JEA Data (mg/L)</w:t>
      </w:r>
      <w:r w:rsidRPr="00586426">
        <w:rPr>
          <w:color w:val="auto"/>
          <w:sz w:val="22"/>
          <w:szCs w:val="22"/>
          <w:u w:val="single"/>
        </w:rPr>
        <w:tab/>
        <w:t>IU Data (mg/L)</w:t>
      </w:r>
    </w:p>
    <w:p w14:paraId="4A48022A" w14:textId="77777777" w:rsidR="00586426" w:rsidRPr="00586426" w:rsidRDefault="00586426" w:rsidP="00586426">
      <w:pPr>
        <w:tabs>
          <w:tab w:val="left" w:pos="3870"/>
          <w:tab w:val="left" w:pos="4320"/>
        </w:tabs>
        <w:ind w:left="1440"/>
        <w:rPr>
          <w:rFonts w:ascii="Arial" w:hAnsi="Arial"/>
          <w:sz w:val="22"/>
          <w:szCs w:val="22"/>
        </w:rPr>
      </w:pPr>
    </w:p>
    <w:p w14:paraId="4787F281"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4.06</w:t>
      </w:r>
      <w:r w:rsidRPr="00586426">
        <w:rPr>
          <w:rFonts w:ascii="Arial" w:hAnsi="Arial"/>
          <w:sz w:val="22"/>
          <w:szCs w:val="22"/>
        </w:rPr>
        <w:tab/>
      </w:r>
      <w:r w:rsidRPr="00586426">
        <w:rPr>
          <w:rFonts w:ascii="Arial" w:hAnsi="Arial"/>
          <w:b/>
          <w:sz w:val="22"/>
          <w:szCs w:val="22"/>
        </w:rPr>
        <w:t>5.57</w:t>
      </w:r>
    </w:p>
    <w:p w14:paraId="456F1242"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1.93</w:t>
      </w:r>
      <w:r w:rsidRPr="00586426">
        <w:rPr>
          <w:rFonts w:ascii="Arial" w:hAnsi="Arial"/>
          <w:sz w:val="22"/>
          <w:szCs w:val="22"/>
        </w:rPr>
        <w:tab/>
        <w:t>2.76</w:t>
      </w:r>
    </w:p>
    <w:p w14:paraId="511C4E2F"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3.28</w:t>
      </w:r>
      <w:r w:rsidRPr="00586426">
        <w:rPr>
          <w:rFonts w:ascii="Arial" w:hAnsi="Arial"/>
          <w:sz w:val="22"/>
          <w:szCs w:val="22"/>
        </w:rPr>
        <w:tab/>
      </w:r>
      <w:r w:rsidRPr="00586426">
        <w:rPr>
          <w:rFonts w:ascii="Arial" w:hAnsi="Arial"/>
          <w:b/>
          <w:sz w:val="22"/>
          <w:szCs w:val="22"/>
        </w:rPr>
        <w:t>7.48</w:t>
      </w:r>
    </w:p>
    <w:p w14:paraId="45F0439B"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r>
      <w:r w:rsidRPr="00586426">
        <w:rPr>
          <w:rFonts w:ascii="Arial" w:hAnsi="Arial"/>
          <w:b/>
          <w:sz w:val="22"/>
          <w:szCs w:val="22"/>
        </w:rPr>
        <w:t>5.91</w:t>
      </w:r>
    </w:p>
    <w:p w14:paraId="2D5E65AE"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3.06</w:t>
      </w:r>
    </w:p>
    <w:p w14:paraId="196F8BEC"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2.24</w:t>
      </w:r>
    </w:p>
    <w:p w14:paraId="675789B0"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3.32</w:t>
      </w:r>
    </w:p>
    <w:p w14:paraId="244A248B"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3.16</w:t>
      </w:r>
    </w:p>
    <w:p w14:paraId="4B68A8C9"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1.96</w:t>
      </w:r>
    </w:p>
    <w:p w14:paraId="091FFB05" w14:textId="77777777" w:rsidR="00586426" w:rsidRPr="00586426" w:rsidRDefault="00586426" w:rsidP="00586426">
      <w:pPr>
        <w:tabs>
          <w:tab w:val="left" w:pos="3870"/>
        </w:tabs>
        <w:ind w:left="1350"/>
        <w:rPr>
          <w:rFonts w:ascii="Arial" w:hAnsi="Arial"/>
          <w:sz w:val="22"/>
          <w:szCs w:val="22"/>
        </w:rPr>
      </w:pPr>
    </w:p>
    <w:p w14:paraId="2AED93AF" w14:textId="77777777" w:rsidR="00586426" w:rsidRPr="00586426" w:rsidRDefault="00586426" w:rsidP="00586426">
      <w:pPr>
        <w:pStyle w:val="BodyTextIndent"/>
        <w:ind w:left="1170"/>
        <w:rPr>
          <w:sz w:val="22"/>
          <w:szCs w:val="22"/>
        </w:rPr>
      </w:pPr>
      <w:r w:rsidRPr="00586426">
        <w:rPr>
          <w:sz w:val="22"/>
          <w:szCs w:val="22"/>
        </w:rPr>
        <w:t>If the local limit for Copper is 3.38 mg/l, then there are 4 documented violations out of a total of 12 data points for this evaluation period. Therefore, the calculation is:</w:t>
      </w:r>
    </w:p>
    <w:p w14:paraId="77476222" w14:textId="77777777" w:rsidR="00586426" w:rsidRPr="00586426" w:rsidRDefault="00586426" w:rsidP="00586426">
      <w:pPr>
        <w:tabs>
          <w:tab w:val="left" w:pos="3600"/>
          <w:tab w:val="left" w:pos="8640"/>
          <w:tab w:val="left" w:pos="12600"/>
        </w:tabs>
        <w:ind w:left="1440"/>
        <w:rPr>
          <w:rFonts w:ascii="Arial" w:hAnsi="Arial"/>
          <w:sz w:val="22"/>
          <w:szCs w:val="22"/>
          <w:u w:val="single"/>
        </w:rPr>
      </w:pPr>
    </w:p>
    <w:p w14:paraId="088CB016" w14:textId="77777777" w:rsidR="00586426" w:rsidRPr="00586426" w:rsidRDefault="00586426" w:rsidP="00586426">
      <w:pPr>
        <w:tabs>
          <w:tab w:val="left" w:pos="3600"/>
          <w:tab w:val="left" w:pos="8640"/>
          <w:tab w:val="left" w:pos="12600"/>
        </w:tabs>
        <w:ind w:left="1440"/>
        <w:rPr>
          <w:rFonts w:ascii="Arial" w:hAnsi="Arial"/>
          <w:sz w:val="22"/>
          <w:szCs w:val="22"/>
        </w:rPr>
      </w:pPr>
      <w:r w:rsidRPr="00586426">
        <w:rPr>
          <w:rFonts w:ascii="Arial" w:hAnsi="Arial"/>
          <w:sz w:val="22"/>
          <w:szCs w:val="22"/>
          <w:u w:val="single"/>
        </w:rPr>
        <w:t xml:space="preserve">  4</w:t>
      </w:r>
      <w:r w:rsidRPr="00586426">
        <w:rPr>
          <w:rFonts w:ascii="Arial" w:hAnsi="Arial"/>
          <w:sz w:val="22"/>
          <w:szCs w:val="22"/>
        </w:rPr>
        <w:t xml:space="preserve"> = 33% </w:t>
      </w:r>
      <w:r w:rsidRPr="00586426">
        <w:rPr>
          <w:rFonts w:ascii="Arial" w:hAnsi="Arial"/>
          <w:sz w:val="22"/>
          <w:szCs w:val="22"/>
        </w:rPr>
        <w:tab/>
        <w:t>The IU is not in SNC (Chronic) for Copper.</w:t>
      </w:r>
    </w:p>
    <w:p w14:paraId="184BE7AE" w14:textId="77777777" w:rsidR="00586426" w:rsidRPr="00586426" w:rsidRDefault="00586426" w:rsidP="00586426">
      <w:pPr>
        <w:tabs>
          <w:tab w:val="left" w:pos="8640"/>
          <w:tab w:val="left" w:pos="12600"/>
        </w:tabs>
        <w:ind w:left="1440"/>
        <w:rPr>
          <w:rFonts w:ascii="Arial" w:hAnsi="Arial"/>
          <w:sz w:val="22"/>
          <w:szCs w:val="22"/>
        </w:rPr>
      </w:pPr>
      <w:r w:rsidRPr="00586426">
        <w:rPr>
          <w:rFonts w:ascii="Arial" w:hAnsi="Arial"/>
          <w:sz w:val="22"/>
          <w:szCs w:val="22"/>
        </w:rPr>
        <w:t>12</w:t>
      </w:r>
    </w:p>
    <w:p w14:paraId="3303ADB7" w14:textId="77777777" w:rsidR="00586426" w:rsidRPr="00586426" w:rsidRDefault="00586426" w:rsidP="00586426">
      <w:pPr>
        <w:tabs>
          <w:tab w:val="left" w:pos="8640"/>
          <w:tab w:val="left" w:pos="12600"/>
        </w:tabs>
        <w:ind w:left="1440"/>
        <w:rPr>
          <w:rFonts w:ascii="Arial" w:hAnsi="Arial"/>
          <w:sz w:val="24"/>
        </w:rPr>
      </w:pPr>
    </w:p>
    <w:p w14:paraId="2F2C2577" w14:textId="77777777" w:rsidR="00586426" w:rsidRPr="00586426" w:rsidRDefault="00586426" w:rsidP="00586426">
      <w:pPr>
        <w:ind w:left="1170"/>
        <w:rPr>
          <w:rFonts w:ascii="Arial" w:hAnsi="Arial"/>
          <w:sz w:val="22"/>
          <w:szCs w:val="22"/>
        </w:rPr>
      </w:pPr>
      <w:r w:rsidRPr="00586426">
        <w:rPr>
          <w:rFonts w:ascii="Arial" w:hAnsi="Arial"/>
          <w:sz w:val="24"/>
        </w:rPr>
        <w:br w:type="page"/>
      </w:r>
      <w:r w:rsidRPr="00586426">
        <w:rPr>
          <w:rFonts w:ascii="Arial" w:hAnsi="Arial"/>
          <w:sz w:val="22"/>
          <w:szCs w:val="22"/>
        </w:rPr>
        <w:lastRenderedPageBreak/>
        <w:t>Example 2:</w:t>
      </w:r>
    </w:p>
    <w:p w14:paraId="4BA613DB" w14:textId="77777777" w:rsidR="00586426" w:rsidRPr="00586426" w:rsidRDefault="00586426" w:rsidP="00586426">
      <w:pPr>
        <w:ind w:left="900"/>
        <w:rPr>
          <w:rFonts w:ascii="Arial" w:hAnsi="Arial"/>
          <w:sz w:val="22"/>
          <w:szCs w:val="22"/>
        </w:rPr>
      </w:pPr>
    </w:p>
    <w:p w14:paraId="3D54994B" w14:textId="77777777" w:rsidR="00586426" w:rsidRPr="00586426" w:rsidRDefault="00586426" w:rsidP="00586426">
      <w:pPr>
        <w:pStyle w:val="Heading2"/>
        <w:tabs>
          <w:tab w:val="left" w:pos="4320"/>
        </w:tabs>
        <w:ind w:left="1440"/>
        <w:rPr>
          <w:color w:val="auto"/>
          <w:sz w:val="22"/>
          <w:szCs w:val="22"/>
          <w:u w:val="single"/>
        </w:rPr>
      </w:pPr>
      <w:r w:rsidRPr="00586426">
        <w:rPr>
          <w:color w:val="auto"/>
          <w:sz w:val="22"/>
          <w:szCs w:val="22"/>
          <w:u w:val="single"/>
        </w:rPr>
        <w:t>JEA Data (mg/L)</w:t>
      </w:r>
      <w:r w:rsidRPr="00586426">
        <w:rPr>
          <w:color w:val="auto"/>
          <w:sz w:val="22"/>
          <w:szCs w:val="22"/>
          <w:u w:val="single"/>
        </w:rPr>
        <w:tab/>
        <w:t>IU Data (mg/L)</w:t>
      </w:r>
    </w:p>
    <w:p w14:paraId="718998D3" w14:textId="77777777" w:rsidR="00586426" w:rsidRPr="00586426" w:rsidRDefault="00586426" w:rsidP="00586426">
      <w:pPr>
        <w:tabs>
          <w:tab w:val="left" w:pos="3870"/>
          <w:tab w:val="left" w:pos="4320"/>
        </w:tabs>
        <w:ind w:left="1440"/>
        <w:rPr>
          <w:rFonts w:ascii="Arial" w:hAnsi="Arial"/>
          <w:sz w:val="22"/>
          <w:szCs w:val="22"/>
        </w:rPr>
      </w:pPr>
    </w:p>
    <w:p w14:paraId="46B8DAE7"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4.06</w:t>
      </w:r>
      <w:r w:rsidRPr="00586426">
        <w:rPr>
          <w:rFonts w:ascii="Arial" w:hAnsi="Arial"/>
          <w:sz w:val="22"/>
          <w:szCs w:val="22"/>
        </w:rPr>
        <w:tab/>
      </w:r>
      <w:r w:rsidRPr="00586426">
        <w:rPr>
          <w:rFonts w:ascii="Arial" w:hAnsi="Arial"/>
          <w:b/>
          <w:sz w:val="22"/>
          <w:szCs w:val="22"/>
        </w:rPr>
        <w:t>5.57</w:t>
      </w:r>
    </w:p>
    <w:p w14:paraId="3CB29A53"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4.95</w:t>
      </w:r>
      <w:r w:rsidRPr="00586426">
        <w:rPr>
          <w:rFonts w:ascii="Arial" w:hAnsi="Arial"/>
          <w:sz w:val="22"/>
          <w:szCs w:val="22"/>
        </w:rPr>
        <w:tab/>
        <w:t>2.76</w:t>
      </w:r>
    </w:p>
    <w:p w14:paraId="2AD723CB"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3.37</w:t>
      </w:r>
      <w:r w:rsidRPr="00586426">
        <w:rPr>
          <w:rFonts w:ascii="Arial" w:hAnsi="Arial"/>
          <w:sz w:val="22"/>
          <w:szCs w:val="22"/>
        </w:rPr>
        <w:tab/>
      </w:r>
      <w:r w:rsidRPr="00586426">
        <w:rPr>
          <w:rFonts w:ascii="Arial" w:hAnsi="Arial"/>
          <w:b/>
          <w:sz w:val="22"/>
          <w:szCs w:val="22"/>
        </w:rPr>
        <w:t>7.48</w:t>
      </w:r>
    </w:p>
    <w:p w14:paraId="1A84DAB8"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6.71</w:t>
      </w:r>
      <w:r w:rsidRPr="00586426">
        <w:rPr>
          <w:rFonts w:ascii="Arial" w:hAnsi="Arial"/>
          <w:sz w:val="22"/>
          <w:szCs w:val="22"/>
        </w:rPr>
        <w:tab/>
      </w:r>
      <w:r w:rsidRPr="00586426">
        <w:rPr>
          <w:rFonts w:ascii="Arial" w:hAnsi="Arial"/>
          <w:b/>
          <w:sz w:val="22"/>
          <w:szCs w:val="22"/>
        </w:rPr>
        <w:t>5.91</w:t>
      </w:r>
    </w:p>
    <w:p w14:paraId="75C7929E"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4.60</w:t>
      </w:r>
      <w:r w:rsidRPr="00586426">
        <w:rPr>
          <w:rFonts w:ascii="Arial" w:hAnsi="Arial"/>
          <w:sz w:val="22"/>
          <w:szCs w:val="22"/>
        </w:rPr>
        <w:tab/>
      </w:r>
      <w:r w:rsidRPr="00586426">
        <w:rPr>
          <w:rFonts w:ascii="Arial" w:hAnsi="Arial"/>
          <w:b/>
          <w:sz w:val="22"/>
          <w:szCs w:val="22"/>
        </w:rPr>
        <w:t>4.39</w:t>
      </w:r>
    </w:p>
    <w:p w14:paraId="0450A612"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2.24</w:t>
      </w:r>
    </w:p>
    <w:p w14:paraId="24FFBEF5" w14:textId="77777777" w:rsidR="00586426" w:rsidRPr="00586426" w:rsidRDefault="00586426" w:rsidP="00586426">
      <w:pPr>
        <w:tabs>
          <w:tab w:val="left" w:pos="4500"/>
        </w:tabs>
        <w:ind w:left="1890"/>
        <w:rPr>
          <w:rFonts w:ascii="Arial" w:hAnsi="Arial"/>
          <w:b/>
          <w:sz w:val="22"/>
          <w:szCs w:val="22"/>
        </w:rPr>
      </w:pPr>
      <w:r w:rsidRPr="00586426">
        <w:rPr>
          <w:rFonts w:ascii="Arial" w:hAnsi="Arial"/>
          <w:sz w:val="22"/>
          <w:szCs w:val="22"/>
        </w:rPr>
        <w:tab/>
      </w:r>
      <w:r w:rsidRPr="00586426">
        <w:rPr>
          <w:rFonts w:ascii="Arial" w:hAnsi="Arial"/>
          <w:b/>
          <w:sz w:val="22"/>
          <w:szCs w:val="22"/>
        </w:rPr>
        <w:t>3.89</w:t>
      </w:r>
    </w:p>
    <w:p w14:paraId="024D7C3F" w14:textId="77777777" w:rsidR="00586426" w:rsidRPr="00586426" w:rsidRDefault="00586426" w:rsidP="00586426">
      <w:pPr>
        <w:ind w:left="900"/>
        <w:rPr>
          <w:rFonts w:ascii="Arial" w:hAnsi="Arial"/>
          <w:sz w:val="22"/>
          <w:szCs w:val="22"/>
        </w:rPr>
      </w:pPr>
    </w:p>
    <w:p w14:paraId="71A43C0C" w14:textId="77777777" w:rsidR="00586426" w:rsidRPr="00586426" w:rsidRDefault="00586426" w:rsidP="00586426">
      <w:pPr>
        <w:pStyle w:val="BodyTextIndent"/>
        <w:ind w:left="1170"/>
        <w:rPr>
          <w:sz w:val="22"/>
          <w:szCs w:val="22"/>
        </w:rPr>
      </w:pPr>
      <w:r w:rsidRPr="00586426">
        <w:rPr>
          <w:sz w:val="22"/>
          <w:szCs w:val="22"/>
        </w:rPr>
        <w:t xml:space="preserve">If the local limit for Copper is 3.38 mg/l, then there are 9 documented violations out of a total of 13 data points for this evaluation period. Therefore, the calculation is: </w:t>
      </w:r>
    </w:p>
    <w:p w14:paraId="44A09D49" w14:textId="77777777" w:rsidR="00586426" w:rsidRPr="00586426" w:rsidRDefault="00586426" w:rsidP="00586426">
      <w:pPr>
        <w:pStyle w:val="BodyTextIndent"/>
        <w:ind w:left="900"/>
        <w:rPr>
          <w:sz w:val="22"/>
          <w:szCs w:val="22"/>
          <w:u w:val="single"/>
        </w:rPr>
      </w:pPr>
    </w:p>
    <w:p w14:paraId="60BECCEA" w14:textId="77777777" w:rsidR="00586426" w:rsidRPr="00586426" w:rsidRDefault="00586426" w:rsidP="00586426">
      <w:pPr>
        <w:tabs>
          <w:tab w:val="left" w:pos="3600"/>
          <w:tab w:val="left" w:pos="8640"/>
          <w:tab w:val="left" w:pos="12600"/>
        </w:tabs>
        <w:ind w:left="1440"/>
        <w:rPr>
          <w:rFonts w:ascii="Arial" w:hAnsi="Arial"/>
          <w:sz w:val="22"/>
          <w:szCs w:val="22"/>
        </w:rPr>
      </w:pPr>
      <w:r w:rsidRPr="00586426">
        <w:rPr>
          <w:rFonts w:ascii="Arial" w:hAnsi="Arial"/>
          <w:sz w:val="22"/>
          <w:szCs w:val="22"/>
          <w:u w:val="single"/>
        </w:rPr>
        <w:t xml:space="preserve"> 9</w:t>
      </w:r>
      <w:r w:rsidRPr="00586426">
        <w:rPr>
          <w:rFonts w:ascii="Arial" w:hAnsi="Arial"/>
          <w:sz w:val="22"/>
          <w:szCs w:val="22"/>
        </w:rPr>
        <w:t xml:space="preserve"> = 75%</w:t>
      </w:r>
      <w:r w:rsidRPr="00586426">
        <w:rPr>
          <w:rFonts w:ascii="Arial" w:hAnsi="Arial"/>
          <w:sz w:val="22"/>
          <w:szCs w:val="22"/>
        </w:rPr>
        <w:tab/>
        <w:t>The IU is SNC (Chronic) for Copper.</w:t>
      </w:r>
    </w:p>
    <w:p w14:paraId="12C80D38" w14:textId="77777777" w:rsidR="00586426" w:rsidRPr="00586426" w:rsidRDefault="00586426" w:rsidP="00586426">
      <w:pPr>
        <w:tabs>
          <w:tab w:val="left" w:pos="8640"/>
          <w:tab w:val="left" w:pos="12600"/>
        </w:tabs>
        <w:ind w:left="1440"/>
        <w:rPr>
          <w:rFonts w:ascii="Arial" w:hAnsi="Arial"/>
          <w:sz w:val="22"/>
          <w:szCs w:val="22"/>
        </w:rPr>
      </w:pPr>
      <w:r w:rsidRPr="00586426">
        <w:rPr>
          <w:rFonts w:ascii="Arial" w:hAnsi="Arial"/>
          <w:sz w:val="22"/>
          <w:szCs w:val="22"/>
        </w:rPr>
        <w:t>12</w:t>
      </w:r>
    </w:p>
    <w:p w14:paraId="1FAFD983" w14:textId="77777777" w:rsidR="00586426" w:rsidRPr="00586426" w:rsidRDefault="00586426" w:rsidP="00586426">
      <w:pPr>
        <w:tabs>
          <w:tab w:val="left" w:pos="8640"/>
          <w:tab w:val="left" w:pos="12600"/>
        </w:tabs>
        <w:ind w:left="1440"/>
        <w:rPr>
          <w:rFonts w:ascii="Arial" w:hAnsi="Arial"/>
          <w:sz w:val="22"/>
          <w:szCs w:val="22"/>
        </w:rPr>
      </w:pPr>
    </w:p>
    <w:p w14:paraId="38384AF6" w14:textId="77777777" w:rsidR="00586426" w:rsidRPr="00586426" w:rsidRDefault="00586426" w:rsidP="00586426">
      <w:pPr>
        <w:tabs>
          <w:tab w:val="left" w:pos="8640"/>
          <w:tab w:val="left" w:pos="12600"/>
        </w:tabs>
        <w:ind w:left="1440"/>
        <w:rPr>
          <w:rFonts w:ascii="Arial" w:hAnsi="Arial"/>
          <w:sz w:val="22"/>
          <w:szCs w:val="22"/>
        </w:rPr>
      </w:pPr>
    </w:p>
    <w:p w14:paraId="62A08712" w14:textId="77777777" w:rsidR="00586426" w:rsidRPr="00586426" w:rsidRDefault="00586426" w:rsidP="00586426">
      <w:pPr>
        <w:tabs>
          <w:tab w:val="left" w:pos="12600"/>
        </w:tabs>
        <w:ind w:left="900"/>
        <w:rPr>
          <w:rFonts w:ascii="Arial" w:hAnsi="Arial"/>
          <w:sz w:val="22"/>
          <w:szCs w:val="22"/>
        </w:rPr>
      </w:pPr>
      <w:r w:rsidRPr="00586426">
        <w:rPr>
          <w:rFonts w:ascii="Arial" w:hAnsi="Arial"/>
          <w:sz w:val="22"/>
          <w:szCs w:val="22"/>
        </w:rPr>
        <w:t>2) Technical Review Criteria (tip – think of this as severity of the violations):</w:t>
      </w:r>
    </w:p>
    <w:p w14:paraId="436AB739" w14:textId="77777777" w:rsidR="00586426" w:rsidRPr="00586426" w:rsidRDefault="00586426" w:rsidP="00586426">
      <w:pPr>
        <w:tabs>
          <w:tab w:val="left" w:pos="12600"/>
        </w:tabs>
        <w:ind w:left="900"/>
        <w:rPr>
          <w:rFonts w:ascii="Arial" w:hAnsi="Arial"/>
          <w:sz w:val="22"/>
          <w:szCs w:val="22"/>
        </w:rPr>
      </w:pPr>
    </w:p>
    <w:p w14:paraId="7003DEF2" w14:textId="77777777" w:rsidR="00586426" w:rsidRPr="00586426" w:rsidRDefault="00586426" w:rsidP="00586426">
      <w:pPr>
        <w:tabs>
          <w:tab w:val="left" w:pos="12600"/>
        </w:tabs>
        <w:ind w:left="1260"/>
        <w:rPr>
          <w:rFonts w:ascii="Arial" w:hAnsi="Arial"/>
          <w:sz w:val="22"/>
          <w:szCs w:val="22"/>
        </w:rPr>
      </w:pPr>
      <w:r w:rsidRPr="00586426">
        <w:rPr>
          <w:rFonts w:ascii="Arial" w:hAnsi="Arial"/>
          <w:sz w:val="22"/>
          <w:szCs w:val="22"/>
        </w:rPr>
        <w:t>Note: pH is exempt from TRC</w:t>
      </w:r>
    </w:p>
    <w:p w14:paraId="5F8CD090" w14:textId="77777777" w:rsidR="00586426" w:rsidRPr="00586426" w:rsidRDefault="00586426" w:rsidP="00586426">
      <w:pPr>
        <w:tabs>
          <w:tab w:val="left" w:pos="3600"/>
          <w:tab w:val="left" w:pos="8640"/>
          <w:tab w:val="left" w:pos="12600"/>
        </w:tabs>
        <w:ind w:left="900"/>
        <w:rPr>
          <w:sz w:val="22"/>
          <w:szCs w:val="22"/>
        </w:rPr>
      </w:pPr>
    </w:p>
    <w:p w14:paraId="382A1ED2" w14:textId="77777777" w:rsidR="00586426" w:rsidRPr="00586426" w:rsidRDefault="00586426" w:rsidP="00586426">
      <w:pPr>
        <w:tabs>
          <w:tab w:val="left" w:pos="8640"/>
          <w:tab w:val="left" w:pos="12600"/>
        </w:tabs>
        <w:ind w:left="1260"/>
        <w:rPr>
          <w:rFonts w:ascii="Arial" w:hAnsi="Arial"/>
          <w:sz w:val="22"/>
          <w:szCs w:val="22"/>
          <w:vertAlign w:val="subscript"/>
        </w:rPr>
      </w:pPr>
      <w:r w:rsidRPr="00586426">
        <w:rPr>
          <w:rFonts w:ascii="Arial" w:hAnsi="Arial"/>
          <w:sz w:val="22"/>
          <w:szCs w:val="22"/>
          <w:u w:val="single"/>
        </w:rPr>
        <w:t># Of violations for parameter in question that exceed the calculated TRC</w:t>
      </w:r>
      <w:r w:rsidRPr="00586426">
        <w:rPr>
          <w:rFonts w:ascii="Arial" w:hAnsi="Arial"/>
          <w:sz w:val="22"/>
          <w:szCs w:val="22"/>
        </w:rPr>
        <w:t xml:space="preserve"> = X%</w:t>
      </w:r>
    </w:p>
    <w:p w14:paraId="42ED3774" w14:textId="77777777" w:rsidR="00586426" w:rsidRPr="00586426" w:rsidRDefault="00586426" w:rsidP="00586426">
      <w:pPr>
        <w:tabs>
          <w:tab w:val="left" w:pos="8640"/>
          <w:tab w:val="left" w:pos="12600"/>
        </w:tabs>
        <w:ind w:left="2880"/>
        <w:rPr>
          <w:rFonts w:ascii="Arial" w:hAnsi="Arial"/>
          <w:sz w:val="22"/>
          <w:szCs w:val="22"/>
        </w:rPr>
      </w:pPr>
      <w:r w:rsidRPr="00586426">
        <w:rPr>
          <w:rFonts w:ascii="Arial" w:hAnsi="Arial"/>
          <w:sz w:val="22"/>
          <w:szCs w:val="22"/>
        </w:rPr>
        <w:t>Total # of times parameter monitored</w:t>
      </w:r>
    </w:p>
    <w:p w14:paraId="21753CD4" w14:textId="77777777" w:rsidR="00586426" w:rsidRPr="00586426" w:rsidRDefault="00586426" w:rsidP="00586426">
      <w:pPr>
        <w:tabs>
          <w:tab w:val="left" w:pos="8640"/>
          <w:tab w:val="left" w:pos="12600"/>
        </w:tabs>
        <w:ind w:left="1260"/>
        <w:rPr>
          <w:rFonts w:ascii="Arial" w:hAnsi="Arial"/>
          <w:sz w:val="22"/>
          <w:szCs w:val="22"/>
        </w:rPr>
      </w:pPr>
    </w:p>
    <w:p w14:paraId="29AB42C5" w14:textId="77777777" w:rsidR="00586426" w:rsidRPr="00586426" w:rsidRDefault="00586426" w:rsidP="00586426">
      <w:pPr>
        <w:tabs>
          <w:tab w:val="left" w:pos="8640"/>
          <w:tab w:val="left" w:pos="12600"/>
        </w:tabs>
        <w:ind w:left="1260"/>
        <w:rPr>
          <w:rFonts w:ascii="Arial" w:hAnsi="Arial"/>
          <w:sz w:val="22"/>
          <w:szCs w:val="22"/>
        </w:rPr>
      </w:pPr>
      <w:r w:rsidRPr="00586426">
        <w:rPr>
          <w:rFonts w:ascii="Arial" w:hAnsi="Arial"/>
          <w:sz w:val="22"/>
          <w:szCs w:val="22"/>
        </w:rPr>
        <w:t xml:space="preserve">If X is </w:t>
      </w:r>
      <w:r w:rsidRPr="00586426">
        <w:rPr>
          <w:rFonts w:ascii="Arial" w:hAnsi="Arial"/>
          <w:sz w:val="22"/>
          <w:szCs w:val="22"/>
          <w:u w:val="single"/>
        </w:rPr>
        <w:t xml:space="preserve">&gt; </w:t>
      </w:r>
      <w:r w:rsidRPr="00586426">
        <w:rPr>
          <w:rFonts w:ascii="Arial" w:hAnsi="Arial"/>
          <w:sz w:val="22"/>
          <w:szCs w:val="22"/>
        </w:rPr>
        <w:t>33%, IU is in SNC for TRC for that parameter</w:t>
      </w:r>
    </w:p>
    <w:p w14:paraId="2A2D4A6C" w14:textId="77777777" w:rsidR="00586426" w:rsidRPr="00586426" w:rsidRDefault="00586426" w:rsidP="00586426">
      <w:pPr>
        <w:tabs>
          <w:tab w:val="left" w:pos="8640"/>
          <w:tab w:val="left" w:pos="12600"/>
        </w:tabs>
        <w:ind w:left="1260"/>
        <w:rPr>
          <w:rFonts w:ascii="Arial" w:hAnsi="Arial"/>
          <w:sz w:val="22"/>
          <w:szCs w:val="22"/>
        </w:rPr>
      </w:pPr>
    </w:p>
    <w:p w14:paraId="268CD652" w14:textId="77777777" w:rsidR="00586426" w:rsidRPr="00586426" w:rsidRDefault="00586426" w:rsidP="00586426">
      <w:pPr>
        <w:ind w:left="1170"/>
        <w:rPr>
          <w:rFonts w:ascii="Arial" w:hAnsi="Arial"/>
          <w:sz w:val="22"/>
          <w:szCs w:val="22"/>
        </w:rPr>
      </w:pPr>
      <w:r w:rsidRPr="00586426">
        <w:rPr>
          <w:rFonts w:ascii="Arial" w:hAnsi="Arial"/>
          <w:sz w:val="22"/>
          <w:szCs w:val="22"/>
        </w:rPr>
        <w:t>Example 1:</w:t>
      </w:r>
    </w:p>
    <w:p w14:paraId="0406CD67" w14:textId="77777777" w:rsidR="00586426" w:rsidRPr="00586426" w:rsidRDefault="00586426" w:rsidP="00586426">
      <w:pPr>
        <w:ind w:left="900"/>
        <w:rPr>
          <w:rFonts w:ascii="Arial" w:hAnsi="Arial"/>
          <w:sz w:val="22"/>
          <w:szCs w:val="22"/>
        </w:rPr>
      </w:pPr>
    </w:p>
    <w:p w14:paraId="14029215" w14:textId="77777777" w:rsidR="00586426" w:rsidRPr="00586426" w:rsidRDefault="00586426" w:rsidP="00586426">
      <w:pPr>
        <w:pStyle w:val="Heading2"/>
        <w:tabs>
          <w:tab w:val="left" w:pos="4320"/>
        </w:tabs>
        <w:ind w:left="1440"/>
        <w:rPr>
          <w:color w:val="auto"/>
          <w:sz w:val="22"/>
          <w:szCs w:val="22"/>
          <w:u w:val="single"/>
        </w:rPr>
      </w:pPr>
      <w:r w:rsidRPr="00586426">
        <w:rPr>
          <w:color w:val="auto"/>
          <w:sz w:val="22"/>
          <w:szCs w:val="22"/>
          <w:u w:val="single"/>
        </w:rPr>
        <w:t>JEA Data (mg/L)</w:t>
      </w:r>
      <w:r w:rsidRPr="00586426">
        <w:rPr>
          <w:color w:val="auto"/>
          <w:sz w:val="22"/>
          <w:szCs w:val="22"/>
          <w:u w:val="single"/>
        </w:rPr>
        <w:tab/>
        <w:t>IU Data (mg/L)</w:t>
      </w:r>
    </w:p>
    <w:p w14:paraId="41AAE2CE" w14:textId="77777777" w:rsidR="00586426" w:rsidRPr="00586426" w:rsidRDefault="00586426" w:rsidP="00586426">
      <w:pPr>
        <w:tabs>
          <w:tab w:val="left" w:pos="3870"/>
          <w:tab w:val="left" w:pos="4320"/>
        </w:tabs>
        <w:ind w:left="1440"/>
        <w:rPr>
          <w:rFonts w:ascii="Arial" w:hAnsi="Arial"/>
          <w:sz w:val="22"/>
          <w:szCs w:val="22"/>
        </w:rPr>
      </w:pPr>
    </w:p>
    <w:p w14:paraId="53CBD4FF"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4.06</w:t>
      </w:r>
      <w:r w:rsidRPr="00586426">
        <w:rPr>
          <w:rFonts w:ascii="Arial" w:hAnsi="Arial"/>
          <w:sz w:val="22"/>
          <w:szCs w:val="22"/>
        </w:rPr>
        <w:tab/>
        <w:t>2.25</w:t>
      </w:r>
    </w:p>
    <w:p w14:paraId="4DB72483"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1.93</w:t>
      </w:r>
      <w:r w:rsidRPr="00586426">
        <w:rPr>
          <w:rFonts w:ascii="Arial" w:hAnsi="Arial"/>
          <w:sz w:val="22"/>
          <w:szCs w:val="22"/>
        </w:rPr>
        <w:tab/>
        <w:t>2.76</w:t>
      </w:r>
    </w:p>
    <w:p w14:paraId="06008252"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3.28</w:t>
      </w:r>
      <w:r w:rsidRPr="00586426">
        <w:rPr>
          <w:rFonts w:ascii="Arial" w:hAnsi="Arial"/>
          <w:sz w:val="22"/>
          <w:szCs w:val="22"/>
        </w:rPr>
        <w:tab/>
      </w:r>
      <w:r w:rsidRPr="00586426">
        <w:rPr>
          <w:rFonts w:ascii="Arial" w:hAnsi="Arial"/>
          <w:b/>
          <w:sz w:val="22"/>
          <w:szCs w:val="22"/>
        </w:rPr>
        <w:t>7.48</w:t>
      </w:r>
    </w:p>
    <w:p w14:paraId="5C943743"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r>
      <w:r w:rsidRPr="00586426">
        <w:rPr>
          <w:rFonts w:ascii="Arial" w:hAnsi="Arial"/>
          <w:b/>
          <w:sz w:val="22"/>
          <w:szCs w:val="22"/>
        </w:rPr>
        <w:t>5.91</w:t>
      </w:r>
    </w:p>
    <w:p w14:paraId="3D18FD60"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3.06</w:t>
      </w:r>
    </w:p>
    <w:p w14:paraId="02BD2545"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2.24</w:t>
      </w:r>
    </w:p>
    <w:p w14:paraId="2D4B6FEE"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3.38</w:t>
      </w:r>
    </w:p>
    <w:p w14:paraId="4211C937"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3.16</w:t>
      </w:r>
    </w:p>
    <w:p w14:paraId="3F6125F6"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1.96</w:t>
      </w:r>
    </w:p>
    <w:p w14:paraId="0CFA2630" w14:textId="77777777" w:rsidR="00586426" w:rsidRPr="00586426" w:rsidRDefault="00586426" w:rsidP="00586426">
      <w:pPr>
        <w:tabs>
          <w:tab w:val="left" w:pos="3870"/>
        </w:tabs>
        <w:ind w:left="1350"/>
        <w:rPr>
          <w:rFonts w:ascii="Arial" w:hAnsi="Arial"/>
          <w:sz w:val="22"/>
          <w:szCs w:val="22"/>
        </w:rPr>
      </w:pPr>
    </w:p>
    <w:p w14:paraId="7397AE6A" w14:textId="77777777" w:rsidR="00586426" w:rsidRPr="00586426" w:rsidRDefault="00586426" w:rsidP="00586426">
      <w:pPr>
        <w:pStyle w:val="BodyTextIndent"/>
        <w:ind w:left="1170"/>
        <w:rPr>
          <w:sz w:val="22"/>
          <w:szCs w:val="22"/>
        </w:rPr>
      </w:pPr>
      <w:r w:rsidRPr="00586426">
        <w:rPr>
          <w:sz w:val="22"/>
          <w:szCs w:val="22"/>
        </w:rPr>
        <w:t>If the TRC for Copper is 4.06 mg/l (local limit x TRC factor), then there are 3 documented violations out of a total of 12 data points for this evaluation period. Therefore, the calculation is:</w:t>
      </w:r>
    </w:p>
    <w:p w14:paraId="1D0B1471" w14:textId="77777777" w:rsidR="00586426" w:rsidRPr="00586426" w:rsidRDefault="00586426" w:rsidP="00586426">
      <w:pPr>
        <w:tabs>
          <w:tab w:val="left" w:pos="3600"/>
          <w:tab w:val="left" w:pos="8640"/>
          <w:tab w:val="left" w:pos="12600"/>
        </w:tabs>
        <w:ind w:left="1440"/>
        <w:rPr>
          <w:rFonts w:ascii="Arial" w:hAnsi="Arial"/>
          <w:sz w:val="22"/>
          <w:szCs w:val="22"/>
          <w:u w:val="single"/>
        </w:rPr>
      </w:pPr>
    </w:p>
    <w:p w14:paraId="4D1BF74F" w14:textId="77777777" w:rsidR="00586426" w:rsidRPr="00586426" w:rsidRDefault="00586426" w:rsidP="00586426">
      <w:pPr>
        <w:tabs>
          <w:tab w:val="left" w:pos="3600"/>
          <w:tab w:val="left" w:pos="8640"/>
          <w:tab w:val="left" w:pos="12600"/>
        </w:tabs>
        <w:ind w:left="1440"/>
        <w:rPr>
          <w:rFonts w:ascii="Arial" w:hAnsi="Arial"/>
          <w:sz w:val="22"/>
          <w:szCs w:val="22"/>
        </w:rPr>
      </w:pPr>
      <w:r w:rsidRPr="00586426">
        <w:rPr>
          <w:rFonts w:ascii="Arial" w:hAnsi="Arial"/>
          <w:sz w:val="22"/>
          <w:szCs w:val="22"/>
          <w:u w:val="single"/>
        </w:rPr>
        <w:t xml:space="preserve">  3</w:t>
      </w:r>
      <w:r w:rsidRPr="00586426">
        <w:rPr>
          <w:rFonts w:ascii="Arial" w:hAnsi="Arial"/>
          <w:sz w:val="22"/>
          <w:szCs w:val="22"/>
        </w:rPr>
        <w:t xml:space="preserve"> = 25%</w:t>
      </w:r>
      <w:r w:rsidRPr="00586426">
        <w:rPr>
          <w:rFonts w:ascii="Arial" w:hAnsi="Arial"/>
          <w:sz w:val="22"/>
          <w:szCs w:val="22"/>
        </w:rPr>
        <w:tab/>
        <w:t>The IU is not in SNC (TRC) for Copper.</w:t>
      </w:r>
    </w:p>
    <w:p w14:paraId="44EB7DBF" w14:textId="77777777" w:rsidR="00586426" w:rsidRPr="00586426" w:rsidRDefault="00586426" w:rsidP="00586426">
      <w:pPr>
        <w:tabs>
          <w:tab w:val="left" w:pos="8640"/>
          <w:tab w:val="left" w:pos="12600"/>
        </w:tabs>
        <w:ind w:left="1440"/>
        <w:rPr>
          <w:rFonts w:ascii="Arial" w:hAnsi="Arial"/>
          <w:sz w:val="22"/>
          <w:szCs w:val="22"/>
        </w:rPr>
      </w:pPr>
      <w:r w:rsidRPr="00586426">
        <w:rPr>
          <w:rFonts w:ascii="Arial" w:hAnsi="Arial"/>
          <w:sz w:val="22"/>
          <w:szCs w:val="22"/>
        </w:rPr>
        <w:t>12</w:t>
      </w:r>
    </w:p>
    <w:p w14:paraId="1943DF62" w14:textId="77777777" w:rsidR="00586426" w:rsidRPr="00586426" w:rsidRDefault="00586426" w:rsidP="00586426">
      <w:pPr>
        <w:tabs>
          <w:tab w:val="left" w:pos="3870"/>
        </w:tabs>
        <w:ind w:left="1350"/>
        <w:rPr>
          <w:rFonts w:ascii="Arial" w:hAnsi="Arial"/>
          <w:sz w:val="22"/>
          <w:szCs w:val="22"/>
        </w:rPr>
      </w:pPr>
    </w:p>
    <w:p w14:paraId="5BDD61A8" w14:textId="77777777" w:rsidR="00586426" w:rsidRPr="00586426" w:rsidRDefault="00586426" w:rsidP="00586426">
      <w:pPr>
        <w:ind w:left="900"/>
        <w:rPr>
          <w:rFonts w:ascii="Arial" w:hAnsi="Arial"/>
          <w:sz w:val="22"/>
          <w:szCs w:val="22"/>
        </w:rPr>
      </w:pPr>
    </w:p>
    <w:p w14:paraId="56F84691" w14:textId="77777777" w:rsidR="00586426" w:rsidRPr="00586426" w:rsidRDefault="00586426" w:rsidP="00586426">
      <w:pPr>
        <w:ind w:left="900"/>
        <w:rPr>
          <w:rFonts w:ascii="Arial" w:hAnsi="Arial"/>
          <w:sz w:val="22"/>
          <w:szCs w:val="22"/>
        </w:rPr>
      </w:pPr>
    </w:p>
    <w:p w14:paraId="0DB80F08" w14:textId="77777777" w:rsidR="00586426" w:rsidRPr="00586426" w:rsidRDefault="00586426" w:rsidP="00586426">
      <w:pPr>
        <w:ind w:left="900"/>
        <w:rPr>
          <w:rFonts w:ascii="Arial" w:hAnsi="Arial"/>
          <w:sz w:val="22"/>
          <w:szCs w:val="22"/>
        </w:rPr>
      </w:pPr>
    </w:p>
    <w:p w14:paraId="69255E06" w14:textId="77777777" w:rsidR="00586426" w:rsidRPr="00586426" w:rsidRDefault="00586426" w:rsidP="00586426">
      <w:pPr>
        <w:ind w:left="900"/>
        <w:rPr>
          <w:rFonts w:ascii="Arial" w:hAnsi="Arial"/>
          <w:sz w:val="22"/>
          <w:szCs w:val="22"/>
        </w:rPr>
      </w:pPr>
    </w:p>
    <w:p w14:paraId="59950E41" w14:textId="77777777" w:rsidR="00586426" w:rsidRPr="00586426" w:rsidRDefault="00586426" w:rsidP="00586426">
      <w:pPr>
        <w:ind w:left="900"/>
        <w:rPr>
          <w:rFonts w:ascii="Arial" w:hAnsi="Arial"/>
          <w:sz w:val="22"/>
          <w:szCs w:val="22"/>
        </w:rPr>
      </w:pPr>
      <w:r w:rsidRPr="00586426">
        <w:rPr>
          <w:rFonts w:ascii="Arial" w:hAnsi="Arial"/>
          <w:sz w:val="22"/>
          <w:szCs w:val="22"/>
        </w:rPr>
        <w:t>Example 2:</w:t>
      </w:r>
    </w:p>
    <w:p w14:paraId="4650BA0A" w14:textId="77777777" w:rsidR="00586426" w:rsidRPr="00586426" w:rsidRDefault="00586426" w:rsidP="00586426">
      <w:pPr>
        <w:ind w:left="900"/>
        <w:rPr>
          <w:rFonts w:ascii="Arial" w:hAnsi="Arial"/>
          <w:sz w:val="22"/>
          <w:szCs w:val="22"/>
        </w:rPr>
      </w:pPr>
    </w:p>
    <w:p w14:paraId="21FDF716" w14:textId="77777777" w:rsidR="00586426" w:rsidRPr="00586426" w:rsidRDefault="00586426" w:rsidP="00586426">
      <w:pPr>
        <w:pStyle w:val="Heading2"/>
        <w:tabs>
          <w:tab w:val="left" w:pos="4320"/>
        </w:tabs>
        <w:ind w:left="1440"/>
        <w:rPr>
          <w:color w:val="auto"/>
          <w:sz w:val="22"/>
          <w:szCs w:val="22"/>
          <w:u w:val="single"/>
        </w:rPr>
      </w:pPr>
      <w:r w:rsidRPr="00586426">
        <w:rPr>
          <w:color w:val="auto"/>
          <w:sz w:val="22"/>
          <w:szCs w:val="22"/>
          <w:u w:val="single"/>
        </w:rPr>
        <w:t>JEA Data (mg/L)</w:t>
      </w:r>
      <w:r w:rsidRPr="00586426">
        <w:rPr>
          <w:color w:val="auto"/>
          <w:sz w:val="22"/>
          <w:szCs w:val="22"/>
          <w:u w:val="single"/>
        </w:rPr>
        <w:tab/>
        <w:t>IU Data (mg/L)</w:t>
      </w:r>
    </w:p>
    <w:p w14:paraId="26FCDE96" w14:textId="77777777" w:rsidR="00586426" w:rsidRPr="00586426" w:rsidRDefault="00586426" w:rsidP="00586426">
      <w:pPr>
        <w:tabs>
          <w:tab w:val="left" w:pos="3870"/>
          <w:tab w:val="left" w:pos="4320"/>
        </w:tabs>
        <w:ind w:left="1440"/>
        <w:rPr>
          <w:rFonts w:ascii="Arial" w:hAnsi="Arial"/>
          <w:sz w:val="22"/>
          <w:szCs w:val="22"/>
        </w:rPr>
      </w:pPr>
    </w:p>
    <w:p w14:paraId="4DF3E0EE"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4.06</w:t>
      </w:r>
      <w:r w:rsidRPr="00586426">
        <w:rPr>
          <w:rFonts w:ascii="Arial" w:hAnsi="Arial"/>
          <w:sz w:val="22"/>
          <w:szCs w:val="22"/>
        </w:rPr>
        <w:tab/>
        <w:t>3.31</w:t>
      </w:r>
    </w:p>
    <w:p w14:paraId="2008EC65"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4.95</w:t>
      </w:r>
      <w:r w:rsidRPr="00586426">
        <w:rPr>
          <w:rFonts w:ascii="Arial" w:hAnsi="Arial"/>
          <w:sz w:val="22"/>
          <w:szCs w:val="22"/>
        </w:rPr>
        <w:tab/>
        <w:t>2.76</w:t>
      </w:r>
    </w:p>
    <w:p w14:paraId="1161A1AE"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3.38</w:t>
      </w:r>
      <w:r w:rsidRPr="00586426">
        <w:rPr>
          <w:rFonts w:ascii="Arial" w:hAnsi="Arial"/>
          <w:sz w:val="22"/>
          <w:szCs w:val="22"/>
        </w:rPr>
        <w:tab/>
      </w:r>
      <w:r w:rsidRPr="00586426">
        <w:rPr>
          <w:rFonts w:ascii="Arial" w:hAnsi="Arial"/>
          <w:b/>
          <w:sz w:val="22"/>
          <w:szCs w:val="22"/>
        </w:rPr>
        <w:t>7.48</w:t>
      </w:r>
    </w:p>
    <w:p w14:paraId="69845285"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6.71</w:t>
      </w:r>
      <w:r w:rsidRPr="00586426">
        <w:rPr>
          <w:rFonts w:ascii="Arial" w:hAnsi="Arial"/>
          <w:sz w:val="22"/>
          <w:szCs w:val="22"/>
        </w:rPr>
        <w:tab/>
      </w:r>
      <w:r w:rsidRPr="00586426">
        <w:rPr>
          <w:rFonts w:ascii="Arial" w:hAnsi="Arial"/>
          <w:b/>
          <w:sz w:val="22"/>
          <w:szCs w:val="22"/>
        </w:rPr>
        <w:t>5.91</w:t>
      </w:r>
    </w:p>
    <w:p w14:paraId="145EAF01" w14:textId="77777777" w:rsidR="00586426" w:rsidRPr="00586426" w:rsidRDefault="00586426" w:rsidP="00586426">
      <w:pPr>
        <w:tabs>
          <w:tab w:val="left" w:pos="4500"/>
        </w:tabs>
        <w:ind w:left="1890"/>
        <w:rPr>
          <w:rFonts w:ascii="Arial" w:hAnsi="Arial"/>
          <w:sz w:val="22"/>
          <w:szCs w:val="22"/>
        </w:rPr>
      </w:pPr>
      <w:r w:rsidRPr="00586426">
        <w:rPr>
          <w:rFonts w:ascii="Arial" w:hAnsi="Arial"/>
          <w:b/>
          <w:sz w:val="22"/>
          <w:szCs w:val="22"/>
        </w:rPr>
        <w:t>4.60</w:t>
      </w:r>
      <w:r w:rsidRPr="00586426">
        <w:rPr>
          <w:rFonts w:ascii="Arial" w:hAnsi="Arial"/>
          <w:sz w:val="22"/>
          <w:szCs w:val="22"/>
        </w:rPr>
        <w:tab/>
      </w:r>
      <w:r w:rsidRPr="00586426">
        <w:rPr>
          <w:rFonts w:ascii="Arial" w:hAnsi="Arial"/>
          <w:b/>
          <w:sz w:val="22"/>
          <w:szCs w:val="22"/>
        </w:rPr>
        <w:t>4.39</w:t>
      </w:r>
    </w:p>
    <w:p w14:paraId="0F6C886A"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2.24</w:t>
      </w:r>
    </w:p>
    <w:p w14:paraId="51BA162F" w14:textId="77777777" w:rsidR="00586426" w:rsidRPr="00586426" w:rsidRDefault="00586426" w:rsidP="00586426">
      <w:pPr>
        <w:tabs>
          <w:tab w:val="left" w:pos="4500"/>
        </w:tabs>
        <w:ind w:left="1890"/>
        <w:rPr>
          <w:rFonts w:ascii="Arial" w:hAnsi="Arial"/>
          <w:sz w:val="22"/>
          <w:szCs w:val="22"/>
        </w:rPr>
      </w:pPr>
      <w:r w:rsidRPr="00586426">
        <w:rPr>
          <w:rFonts w:ascii="Arial" w:hAnsi="Arial"/>
          <w:sz w:val="22"/>
          <w:szCs w:val="22"/>
        </w:rPr>
        <w:tab/>
        <w:t>3.89</w:t>
      </w:r>
    </w:p>
    <w:p w14:paraId="6AF1F472" w14:textId="77777777" w:rsidR="00586426" w:rsidRPr="00586426" w:rsidRDefault="00586426" w:rsidP="00586426">
      <w:pPr>
        <w:ind w:left="900"/>
        <w:rPr>
          <w:rFonts w:ascii="Arial" w:hAnsi="Arial"/>
          <w:sz w:val="22"/>
          <w:szCs w:val="22"/>
        </w:rPr>
      </w:pPr>
    </w:p>
    <w:p w14:paraId="5F3B9E6A" w14:textId="77777777" w:rsidR="00586426" w:rsidRPr="00586426" w:rsidRDefault="00586426" w:rsidP="00586426">
      <w:pPr>
        <w:pStyle w:val="BodyTextIndent"/>
        <w:ind w:left="1170"/>
        <w:rPr>
          <w:sz w:val="22"/>
          <w:szCs w:val="22"/>
        </w:rPr>
      </w:pPr>
      <w:r w:rsidRPr="00586426">
        <w:rPr>
          <w:sz w:val="22"/>
          <w:szCs w:val="22"/>
        </w:rPr>
        <w:t>If the TRC for Copper is 4.06 mg/l (local limit x TRC factor), then there are 7 documented violations out of a total of 12 data points for this evaluation period. Therefore, the calculation is:</w:t>
      </w:r>
    </w:p>
    <w:p w14:paraId="0D394305" w14:textId="77777777" w:rsidR="00586426" w:rsidRPr="00586426" w:rsidRDefault="00586426" w:rsidP="00586426">
      <w:pPr>
        <w:tabs>
          <w:tab w:val="left" w:pos="3600"/>
          <w:tab w:val="left" w:pos="8640"/>
          <w:tab w:val="left" w:pos="12600"/>
        </w:tabs>
        <w:ind w:left="1440"/>
        <w:rPr>
          <w:rFonts w:ascii="Arial" w:hAnsi="Arial"/>
          <w:sz w:val="22"/>
          <w:szCs w:val="22"/>
          <w:u w:val="single"/>
        </w:rPr>
      </w:pPr>
    </w:p>
    <w:p w14:paraId="68CCC99E" w14:textId="77777777" w:rsidR="00586426" w:rsidRPr="00586426" w:rsidRDefault="00586426" w:rsidP="00586426">
      <w:pPr>
        <w:tabs>
          <w:tab w:val="left" w:pos="3600"/>
          <w:tab w:val="left" w:pos="8640"/>
          <w:tab w:val="left" w:pos="12600"/>
        </w:tabs>
        <w:ind w:left="1440"/>
        <w:rPr>
          <w:rFonts w:ascii="Arial" w:hAnsi="Arial"/>
          <w:sz w:val="22"/>
          <w:szCs w:val="22"/>
        </w:rPr>
      </w:pPr>
      <w:r w:rsidRPr="00586426">
        <w:rPr>
          <w:rFonts w:ascii="Arial" w:hAnsi="Arial"/>
          <w:sz w:val="22"/>
          <w:szCs w:val="22"/>
          <w:u w:val="single"/>
        </w:rPr>
        <w:t xml:space="preserve">  7</w:t>
      </w:r>
      <w:r w:rsidRPr="00586426">
        <w:rPr>
          <w:rFonts w:ascii="Arial" w:hAnsi="Arial"/>
          <w:sz w:val="22"/>
          <w:szCs w:val="22"/>
        </w:rPr>
        <w:t xml:space="preserve"> = 58%</w:t>
      </w:r>
      <w:r w:rsidRPr="00586426">
        <w:rPr>
          <w:rFonts w:ascii="Arial" w:hAnsi="Arial"/>
          <w:sz w:val="22"/>
          <w:szCs w:val="22"/>
        </w:rPr>
        <w:tab/>
        <w:t>The IU is in SNC (TRC) for Copper.</w:t>
      </w:r>
    </w:p>
    <w:p w14:paraId="135F9216" w14:textId="77777777" w:rsidR="00586426" w:rsidRPr="00586426" w:rsidRDefault="00586426" w:rsidP="00586426">
      <w:pPr>
        <w:tabs>
          <w:tab w:val="left" w:pos="8640"/>
          <w:tab w:val="left" w:pos="12600"/>
        </w:tabs>
        <w:ind w:left="1440"/>
        <w:rPr>
          <w:rFonts w:ascii="Arial" w:hAnsi="Arial"/>
          <w:sz w:val="22"/>
          <w:szCs w:val="22"/>
        </w:rPr>
      </w:pPr>
      <w:r w:rsidRPr="00586426">
        <w:rPr>
          <w:rFonts w:ascii="Arial" w:hAnsi="Arial"/>
          <w:sz w:val="22"/>
          <w:szCs w:val="22"/>
        </w:rPr>
        <w:t>12</w:t>
      </w:r>
    </w:p>
    <w:p w14:paraId="547407BE" w14:textId="77777777" w:rsidR="00586426" w:rsidRPr="00586426" w:rsidRDefault="00586426" w:rsidP="00586426">
      <w:pPr>
        <w:tabs>
          <w:tab w:val="left" w:pos="8640"/>
          <w:tab w:val="left" w:pos="12600"/>
        </w:tabs>
        <w:ind w:left="1440"/>
        <w:rPr>
          <w:rFonts w:ascii="Arial" w:hAnsi="Arial"/>
          <w:sz w:val="22"/>
          <w:szCs w:val="22"/>
        </w:rPr>
      </w:pPr>
    </w:p>
    <w:p w14:paraId="0259F53F" w14:textId="77777777" w:rsidR="00586426" w:rsidRPr="00586426" w:rsidRDefault="00586426" w:rsidP="00586426">
      <w:pPr>
        <w:tabs>
          <w:tab w:val="left" w:pos="8640"/>
          <w:tab w:val="left" w:pos="12600"/>
        </w:tabs>
        <w:ind w:left="1440"/>
        <w:rPr>
          <w:rFonts w:ascii="Arial" w:hAnsi="Arial"/>
          <w:sz w:val="22"/>
          <w:szCs w:val="22"/>
        </w:rPr>
      </w:pPr>
    </w:p>
    <w:p w14:paraId="5022109B" w14:textId="77777777" w:rsidR="00586426" w:rsidRPr="00586426" w:rsidRDefault="00586426" w:rsidP="00586426">
      <w:pPr>
        <w:tabs>
          <w:tab w:val="left" w:pos="8640"/>
          <w:tab w:val="left" w:pos="12600"/>
        </w:tabs>
        <w:ind w:left="2160" w:hanging="720"/>
        <w:rPr>
          <w:rFonts w:ascii="Arial" w:hAnsi="Arial"/>
          <w:sz w:val="22"/>
          <w:szCs w:val="22"/>
        </w:rPr>
      </w:pPr>
      <w:r w:rsidRPr="00586426">
        <w:rPr>
          <w:rFonts w:ascii="Arial" w:hAnsi="Arial"/>
          <w:sz w:val="22"/>
          <w:szCs w:val="22"/>
        </w:rPr>
        <w:t>Note:  An IU can be in SNC (Chronic) only, SNC (TRC) only or both (Chronic &amp; TRC) for the same parameter.</w:t>
      </w:r>
    </w:p>
    <w:p w14:paraId="45E3F648" w14:textId="77777777" w:rsidR="00586426" w:rsidRPr="00586426" w:rsidRDefault="00586426" w:rsidP="00586426">
      <w:pPr>
        <w:tabs>
          <w:tab w:val="left" w:pos="8640"/>
          <w:tab w:val="left" w:pos="12600"/>
        </w:tabs>
        <w:ind w:left="1440"/>
        <w:rPr>
          <w:rFonts w:ascii="Arial" w:hAnsi="Arial"/>
          <w:sz w:val="22"/>
          <w:szCs w:val="22"/>
        </w:rPr>
      </w:pPr>
    </w:p>
    <w:p w14:paraId="6831AE52" w14:textId="77777777" w:rsidR="00321638" w:rsidRPr="00586426" w:rsidRDefault="00321638"/>
    <w:sectPr w:rsidR="00321638" w:rsidRPr="00586426" w:rsidSect="00586426">
      <w:pgSz w:w="12240" w:h="15840"/>
      <w:pgMar w:top="144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E788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A3C339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091272600">
    <w:abstractNumId w:val="0"/>
  </w:num>
  <w:num w:numId="2" w16cid:durableId="175763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26"/>
    <w:rsid w:val="000C4C1B"/>
    <w:rsid w:val="000D606E"/>
    <w:rsid w:val="00190323"/>
    <w:rsid w:val="00321638"/>
    <w:rsid w:val="00586426"/>
    <w:rsid w:val="005E0BF2"/>
    <w:rsid w:val="007138FD"/>
    <w:rsid w:val="009049F0"/>
    <w:rsid w:val="00946359"/>
    <w:rsid w:val="00E8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B318"/>
  <w15:chartTrackingRefBased/>
  <w15:docId w15:val="{BBCB848C-F6B8-4487-8F2A-4C73AE3A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2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586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86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86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86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86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4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4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4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4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426"/>
    <w:rPr>
      <w:rFonts w:eastAsiaTheme="majorEastAsia" w:cstheme="majorBidi"/>
      <w:color w:val="272727" w:themeColor="text1" w:themeTint="D8"/>
    </w:rPr>
  </w:style>
  <w:style w:type="paragraph" w:styleId="Title">
    <w:name w:val="Title"/>
    <w:basedOn w:val="Normal"/>
    <w:next w:val="Normal"/>
    <w:link w:val="TitleChar"/>
    <w:uiPriority w:val="10"/>
    <w:qFormat/>
    <w:rsid w:val="005864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426"/>
    <w:pPr>
      <w:spacing w:before="160"/>
      <w:jc w:val="center"/>
    </w:pPr>
    <w:rPr>
      <w:i/>
      <w:iCs/>
      <w:color w:val="404040" w:themeColor="text1" w:themeTint="BF"/>
    </w:rPr>
  </w:style>
  <w:style w:type="character" w:customStyle="1" w:styleId="QuoteChar">
    <w:name w:val="Quote Char"/>
    <w:basedOn w:val="DefaultParagraphFont"/>
    <w:link w:val="Quote"/>
    <w:uiPriority w:val="29"/>
    <w:rsid w:val="00586426"/>
    <w:rPr>
      <w:i/>
      <w:iCs/>
      <w:color w:val="404040" w:themeColor="text1" w:themeTint="BF"/>
    </w:rPr>
  </w:style>
  <w:style w:type="paragraph" w:styleId="ListParagraph">
    <w:name w:val="List Paragraph"/>
    <w:basedOn w:val="Normal"/>
    <w:uiPriority w:val="34"/>
    <w:qFormat/>
    <w:rsid w:val="00586426"/>
    <w:pPr>
      <w:ind w:left="720"/>
      <w:contextualSpacing/>
    </w:pPr>
  </w:style>
  <w:style w:type="character" w:styleId="IntenseEmphasis">
    <w:name w:val="Intense Emphasis"/>
    <w:basedOn w:val="DefaultParagraphFont"/>
    <w:uiPriority w:val="21"/>
    <w:qFormat/>
    <w:rsid w:val="00586426"/>
    <w:rPr>
      <w:i/>
      <w:iCs/>
      <w:color w:val="0F4761" w:themeColor="accent1" w:themeShade="BF"/>
    </w:rPr>
  </w:style>
  <w:style w:type="paragraph" w:styleId="IntenseQuote">
    <w:name w:val="Intense Quote"/>
    <w:basedOn w:val="Normal"/>
    <w:next w:val="Normal"/>
    <w:link w:val="IntenseQuoteChar"/>
    <w:uiPriority w:val="30"/>
    <w:qFormat/>
    <w:rsid w:val="00586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426"/>
    <w:rPr>
      <w:i/>
      <w:iCs/>
      <w:color w:val="0F4761" w:themeColor="accent1" w:themeShade="BF"/>
    </w:rPr>
  </w:style>
  <w:style w:type="character" w:styleId="IntenseReference">
    <w:name w:val="Intense Reference"/>
    <w:basedOn w:val="DefaultParagraphFont"/>
    <w:uiPriority w:val="32"/>
    <w:qFormat/>
    <w:rsid w:val="00586426"/>
    <w:rPr>
      <w:b/>
      <w:bCs/>
      <w:smallCaps/>
      <w:color w:val="0F4761" w:themeColor="accent1" w:themeShade="BF"/>
      <w:spacing w:val="5"/>
    </w:rPr>
  </w:style>
  <w:style w:type="paragraph" w:styleId="BodyTextIndent">
    <w:name w:val="Body Text Indent"/>
    <w:basedOn w:val="Normal"/>
    <w:link w:val="BodyTextIndentChar"/>
    <w:rsid w:val="00586426"/>
    <w:pPr>
      <w:ind w:left="720"/>
    </w:pPr>
    <w:rPr>
      <w:rFonts w:ascii="Arial" w:hAnsi="Arial"/>
      <w:sz w:val="24"/>
    </w:rPr>
  </w:style>
  <w:style w:type="character" w:customStyle="1" w:styleId="BodyTextIndentChar">
    <w:name w:val="Body Text Indent Char"/>
    <w:basedOn w:val="DefaultParagraphFont"/>
    <w:link w:val="BodyTextIndent"/>
    <w:rsid w:val="00586426"/>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811</Words>
  <Characters>4625</Characters>
  <Application>Microsoft Office Word</Application>
  <DocSecurity>0</DocSecurity>
  <Lines>38</Lines>
  <Paragraphs>10</Paragraphs>
  <ScaleCrop>false</ScaleCrop>
  <Company>JEA</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Yvelis L.</dc:creator>
  <cp:keywords/>
  <dc:description/>
  <cp:lastModifiedBy>Rivera, Yvelis L.</cp:lastModifiedBy>
  <cp:revision>3</cp:revision>
  <dcterms:created xsi:type="dcterms:W3CDTF">2025-05-22T17:12:00Z</dcterms:created>
  <dcterms:modified xsi:type="dcterms:W3CDTF">2025-05-22T19:25:00Z</dcterms:modified>
</cp:coreProperties>
</file>